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332706"/>
        <w:docPartObj>
          <w:docPartGallery w:val="Cover Pages"/>
          <w:docPartUnique/>
        </w:docPartObj>
      </w:sdtPr>
      <w:sdtEndPr>
        <w:rPr>
          <w:rFonts w:ascii="游明朝" w:eastAsia="游明朝"/>
          <w:kern w:val="2"/>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638" w:rsidRDefault="00977638">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Pr>
                                        <w:rFonts w:asciiTheme="majorHAnsi" w:eastAsiaTheme="majorEastAsia" w:hAnsiTheme="majorHAnsi" w:cstheme="majorBidi" w:hint="eastAsia"/>
                                        <w:caps/>
                                        <w:color w:val="8496B0" w:themeColor="text2" w:themeTint="99"/>
                                        <w:sz w:val="64"/>
                                        <w:szCs w:val="64"/>
                                      </w:rPr>
                                      <w:t>平成３０年度税制改正</w:t>
                                    </w:r>
                                  </w:sdtContent>
                                </w:sdt>
                              </w:p>
                              <w:p w:rsidR="00977638" w:rsidRDefault="00977638">
                                <w:pPr>
                                  <w:pStyle w:val="a8"/>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Content>
                                    <w:r>
                                      <w:rPr>
                                        <w:rFonts w:hint="eastAsia"/>
                                        <w:color w:val="4472C4" w:themeColor="accent1"/>
                                        <w:sz w:val="36"/>
                                        <w:szCs w:val="36"/>
                                      </w:rPr>
                                      <w:t>＜主な改正項目＞</w:t>
                                    </w:r>
                                  </w:sdtContent>
                                </w:sdt>
                              </w:p>
                              <w:p w:rsidR="00977638" w:rsidRDefault="0097763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977638" w:rsidRDefault="00977638">
                          <w:pPr>
                            <w:pStyle w:val="a8"/>
                            <w:rPr>
                              <w:rFonts w:asciiTheme="majorHAnsi" w:eastAsiaTheme="majorEastAsia" w:hAnsiTheme="majorHAnsi" w:cstheme="majorBidi"/>
                              <w:caps/>
                              <w:color w:val="8496B0" w:themeColor="text2" w:themeTint="99"/>
                              <w:sz w:val="68"/>
                              <w:szCs w:val="68"/>
                            </w:rPr>
                          </w:pPr>
                          <w:sdt>
                            <w:sdtPr>
                              <w:rPr>
                                <w:rFonts w:asciiTheme="majorHAnsi" w:eastAsiaTheme="majorEastAsia" w:hAnsiTheme="majorHAnsi" w:cstheme="majorBidi"/>
                                <w:caps/>
                                <w:color w:val="8496B0" w:themeColor="text2" w:themeTint="99"/>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r>
                                <w:rPr>
                                  <w:rFonts w:asciiTheme="majorHAnsi" w:eastAsiaTheme="majorEastAsia" w:hAnsiTheme="majorHAnsi" w:cstheme="majorBidi" w:hint="eastAsia"/>
                                  <w:caps/>
                                  <w:color w:val="8496B0" w:themeColor="text2" w:themeTint="99"/>
                                  <w:sz w:val="64"/>
                                  <w:szCs w:val="64"/>
                                </w:rPr>
                                <w:t>平成３０年度税制改正</w:t>
                              </w:r>
                            </w:sdtContent>
                          </w:sdt>
                        </w:p>
                        <w:p w:rsidR="00977638" w:rsidRDefault="00977638">
                          <w:pPr>
                            <w:pStyle w:val="a8"/>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Content>
                              <w:r>
                                <w:rPr>
                                  <w:rFonts w:hint="eastAsia"/>
                                  <w:color w:val="4472C4" w:themeColor="accent1"/>
                                  <w:sz w:val="36"/>
                                  <w:szCs w:val="36"/>
                                </w:rPr>
                                <w:t>＜主な改正項目＞</w:t>
                              </w:r>
                            </w:sdtContent>
                          </w:sdt>
                        </w:p>
                        <w:p w:rsidR="00977638" w:rsidRDefault="00977638">
                          <w:pPr>
                            <w:rPr>
                              <w:rFonts w:hint="eastAsia"/>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A3A803B"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638" w:rsidRDefault="00977638">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Pr>
                                        <w:rFonts w:hint="eastAsia"/>
                                        <w:color w:val="4472C4" w:themeColor="accent1"/>
                                        <w:sz w:val="36"/>
                                        <w:szCs w:val="36"/>
                                      </w:rPr>
                                      <w:t>倉重税務会計事務所</w:t>
                                    </w:r>
                                  </w:sdtContent>
                                </w:sdt>
                              </w:p>
                              <w:p w:rsidR="00977638" w:rsidRDefault="00977638">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977638" w:rsidRDefault="00977638">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Content>
                              <w:r>
                                <w:rPr>
                                  <w:rFonts w:hint="eastAsia"/>
                                  <w:color w:val="4472C4" w:themeColor="accent1"/>
                                  <w:sz w:val="36"/>
                                  <w:szCs w:val="36"/>
                                </w:rPr>
                                <w:t>倉重税務会計事務所</w:t>
                              </w:r>
                            </w:sdtContent>
                          </w:sdt>
                        </w:p>
                        <w:p w:rsidR="00977638" w:rsidRDefault="00977638">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Content>
                              <w:r>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977638" w:rsidRPr="00977638" w:rsidRDefault="00977638">
                                <w:pPr>
                                  <w:rPr>
                                    <w:rFonts w:hint="eastAsia"/>
                                    <w:color w:val="4472C4" w:themeColor="accent1"/>
                                  </w:rPr>
                                </w:pPr>
                                <w:r w:rsidRPr="00977638">
                                  <w:rPr>
                                    <w:rFonts w:hint="eastAsia"/>
                                    <w:color w:val="4472C4" w:themeColor="accent1"/>
                                  </w:rPr>
                                  <w:t>2018</w:t>
                                </w:r>
                                <w:r w:rsidRPr="00977638">
                                  <w:rPr>
                                    <w:rFonts w:hint="eastAsia"/>
                                    <w:color w:val="4472C4" w:themeColor="accent1"/>
                                  </w:rPr>
                                  <w:t>年7月26日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977638" w:rsidRPr="00977638" w:rsidRDefault="00977638">
                          <w:pPr>
                            <w:rPr>
                              <w:rFonts w:hint="eastAsia"/>
                              <w:color w:val="4472C4" w:themeColor="accent1"/>
                            </w:rPr>
                          </w:pPr>
                          <w:r w:rsidRPr="00977638">
                            <w:rPr>
                              <w:rFonts w:hint="eastAsia"/>
                              <w:color w:val="4472C4" w:themeColor="accent1"/>
                            </w:rPr>
                            <w:t>2018</w:t>
                          </w:r>
                          <w:r w:rsidRPr="00977638">
                            <w:rPr>
                              <w:rFonts w:hint="eastAsia"/>
                              <w:color w:val="4472C4" w:themeColor="accent1"/>
                            </w:rPr>
                            <w:t>年7月26日</w:t>
                          </w:r>
                        </w:p>
                      </w:txbxContent>
                    </v:textbox>
                  </v:shape>
                </w:pict>
              </mc:Fallback>
            </mc:AlternateContent>
          </w:r>
          <w:r>
            <w:br w:type="page"/>
          </w:r>
        </w:p>
      </w:sdtContent>
    </w:sdt>
    <w:p w:rsidR="00E831CC" w:rsidRDefault="00A32566" w:rsidP="00A32566">
      <w:pPr>
        <w:pStyle w:val="a3"/>
        <w:numPr>
          <w:ilvl w:val="0"/>
          <w:numId w:val="1"/>
        </w:numPr>
        <w:ind w:leftChars="0"/>
      </w:pPr>
      <w:r>
        <w:rPr>
          <w:rFonts w:hint="eastAsia"/>
        </w:rPr>
        <w:lastRenderedPageBreak/>
        <w:t>平成30年度税制改正（主な改正項目）</w:t>
      </w:r>
    </w:p>
    <w:p w:rsidR="00A32566" w:rsidRDefault="007C1414" w:rsidP="00A32566">
      <w:pPr>
        <w:pStyle w:val="a3"/>
        <w:ind w:leftChars="0" w:left="420"/>
      </w:pPr>
      <w:r w:rsidRPr="007C1414">
        <w:drawing>
          <wp:inline distT="0" distB="0" distL="0" distR="0">
            <wp:extent cx="4948555" cy="2783840"/>
            <wp:effectExtent l="0" t="0" r="444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8555" cy="2783840"/>
                    </a:xfrm>
                    <a:prstGeom prst="rect">
                      <a:avLst/>
                    </a:prstGeom>
                    <a:noFill/>
                    <a:ln>
                      <a:noFill/>
                    </a:ln>
                  </pic:spPr>
                </pic:pic>
              </a:graphicData>
            </a:graphic>
          </wp:inline>
        </w:drawing>
      </w:r>
    </w:p>
    <w:p w:rsidR="00A32566" w:rsidRDefault="00A32566" w:rsidP="00A32566">
      <w:pPr>
        <w:pStyle w:val="a3"/>
        <w:ind w:leftChars="0" w:left="420"/>
      </w:pPr>
    </w:p>
    <w:p w:rsidR="00A32566" w:rsidRDefault="00A32566" w:rsidP="00A32566">
      <w:pPr>
        <w:pStyle w:val="a3"/>
        <w:numPr>
          <w:ilvl w:val="0"/>
          <w:numId w:val="1"/>
        </w:numPr>
        <w:ind w:leftChars="0"/>
      </w:pPr>
      <w:r>
        <w:rPr>
          <w:rFonts w:hint="eastAsia"/>
        </w:rPr>
        <w:t>改正の概要</w:t>
      </w:r>
    </w:p>
    <w:p w:rsidR="00A32566" w:rsidRDefault="00A32566" w:rsidP="00212290">
      <w:pPr>
        <w:pStyle w:val="a3"/>
        <w:ind w:leftChars="0" w:left="420"/>
      </w:pPr>
      <w:r>
        <w:rPr>
          <w:rFonts w:hint="eastAsia"/>
        </w:rPr>
        <w:t>安倍内閣最大の課題である、少子高齢化に伴う構造的な問題の克服に向けて、「一億総活躍社会」を作り上げようとしている。</w:t>
      </w:r>
      <w:r w:rsidR="00212290">
        <w:br/>
      </w:r>
      <w:r>
        <w:rPr>
          <w:rFonts w:hint="eastAsia"/>
        </w:rPr>
        <w:t>そのキーワードは</w:t>
      </w:r>
      <w:r w:rsidR="00212290">
        <w:rPr>
          <w:rFonts w:hint="eastAsia"/>
        </w:rPr>
        <w:t>、</w:t>
      </w:r>
      <w:r w:rsidR="00212290">
        <w:br/>
      </w:r>
      <w:r w:rsidR="00212290" w:rsidRPr="00212290">
        <w:rPr>
          <w:rFonts w:hint="eastAsia"/>
          <w:noProof/>
        </w:rPr>
        <w:drawing>
          <wp:inline distT="0" distB="0" distL="0" distR="0">
            <wp:extent cx="2724150" cy="5048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504825"/>
                    </a:xfrm>
                    <a:prstGeom prst="rect">
                      <a:avLst/>
                    </a:prstGeom>
                    <a:noFill/>
                    <a:ln>
                      <a:noFill/>
                    </a:ln>
                  </pic:spPr>
                </pic:pic>
              </a:graphicData>
            </a:graphic>
          </wp:inline>
        </w:drawing>
      </w:r>
    </w:p>
    <w:p w:rsidR="00212290" w:rsidRDefault="00212290" w:rsidP="00212290">
      <w:pPr>
        <w:pStyle w:val="a3"/>
        <w:ind w:leftChars="0" w:left="420"/>
      </w:pPr>
      <w:r>
        <w:rPr>
          <w:rFonts w:hint="eastAsia"/>
        </w:rPr>
        <w:t>その他、ICT(情報通信技術)の活用の促進、社会全体のコスト削減および企業の生産性向上を図る制度(電子情報処理組織による申告書の提出義務化)も挙げている。さらに、社会保障関係費の税源確保の観点から、たばこ税の引き上げ・加熱式たばこの課税方式の見直しも挙げられている。</w:t>
      </w:r>
    </w:p>
    <w:p w:rsidR="00212290" w:rsidRDefault="00212290">
      <w:pPr>
        <w:widowControl/>
        <w:jc w:val="left"/>
      </w:pPr>
      <w:r>
        <w:br w:type="page"/>
      </w:r>
    </w:p>
    <w:p w:rsidR="00212290" w:rsidRPr="00C05F32" w:rsidRDefault="00212290" w:rsidP="00212290">
      <w:pPr>
        <w:pStyle w:val="a3"/>
        <w:numPr>
          <w:ilvl w:val="0"/>
          <w:numId w:val="1"/>
        </w:numPr>
        <w:ind w:leftChars="0"/>
        <w:rPr>
          <w:b/>
        </w:rPr>
      </w:pPr>
      <w:r w:rsidRPr="00C05F32">
        <w:rPr>
          <w:rFonts w:hint="eastAsia"/>
          <w:b/>
        </w:rPr>
        <w:lastRenderedPageBreak/>
        <w:t>法人向け税制改正のポイント</w:t>
      </w:r>
    </w:p>
    <w:p w:rsidR="00212290" w:rsidRPr="007C1414" w:rsidRDefault="00212290" w:rsidP="00212290">
      <w:pPr>
        <w:pStyle w:val="a3"/>
        <w:numPr>
          <w:ilvl w:val="1"/>
          <w:numId w:val="1"/>
        </w:numPr>
        <w:ind w:leftChars="0"/>
        <w:rPr>
          <w:highlight w:val="yellow"/>
          <w:bdr w:val="single" w:sz="4" w:space="0" w:color="auto"/>
        </w:rPr>
      </w:pPr>
      <w:r w:rsidRPr="007C1414">
        <w:rPr>
          <w:rFonts w:hint="eastAsia"/>
          <w:highlight w:val="yellow"/>
          <w:bdr w:val="single" w:sz="4" w:space="0" w:color="auto"/>
          <w:shd w:val="pct15" w:color="auto" w:fill="FFFFFF"/>
        </w:rPr>
        <w:t>所得拡大促進税制の見直し</w:t>
      </w:r>
    </w:p>
    <w:p w:rsidR="00212290" w:rsidRDefault="00212290" w:rsidP="00212290">
      <w:pPr>
        <w:pStyle w:val="a3"/>
        <w:numPr>
          <w:ilvl w:val="2"/>
          <w:numId w:val="1"/>
        </w:numPr>
        <w:ind w:leftChars="0"/>
      </w:pPr>
      <w:r>
        <w:rPr>
          <w:rFonts w:hint="eastAsia"/>
        </w:rPr>
        <w:t>概要</w:t>
      </w:r>
    </w:p>
    <w:p w:rsidR="001F2C15" w:rsidRDefault="00212290" w:rsidP="001F2C15">
      <w:pPr>
        <w:pStyle w:val="a3"/>
        <w:ind w:leftChars="0" w:left="1260"/>
      </w:pPr>
      <w:r>
        <w:rPr>
          <w:rFonts w:hint="eastAsia"/>
        </w:rPr>
        <w:t>所得拡大税制は、青色申告書を提出する法人が、国内雇用者に対する給与等を一定以上増加させた場合に、法人税額からその増加額の一定割合を控除できる制度。</w:t>
      </w:r>
      <w:r>
        <w:br/>
      </w:r>
      <w:r>
        <w:rPr>
          <w:rFonts w:hint="eastAsia"/>
        </w:rPr>
        <w:t>今回の改正により、要件の簡素化・税額控除率の上乗せが盛り込まれた。</w:t>
      </w:r>
    </w:p>
    <w:p w:rsidR="001F2C15" w:rsidRDefault="001F2C15" w:rsidP="001F2C15">
      <w:pPr>
        <w:pStyle w:val="a3"/>
        <w:numPr>
          <w:ilvl w:val="2"/>
          <w:numId w:val="1"/>
        </w:numPr>
        <w:ind w:leftChars="0"/>
      </w:pPr>
      <w:r>
        <w:rPr>
          <w:rFonts w:hint="eastAsia"/>
        </w:rPr>
        <w:t>改正内容と適用要件(中小企業向け)</w:t>
      </w:r>
      <w:r>
        <w:br/>
      </w:r>
      <w:r w:rsidRPr="001F2C15">
        <w:rPr>
          <w:rFonts w:hint="eastAsia"/>
          <w:noProof/>
        </w:rPr>
        <w:drawing>
          <wp:inline distT="0" distB="0" distL="0" distR="0">
            <wp:extent cx="3505200" cy="5353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353050"/>
                    </a:xfrm>
                    <a:prstGeom prst="rect">
                      <a:avLst/>
                    </a:prstGeom>
                    <a:noFill/>
                    <a:ln>
                      <a:noFill/>
                    </a:ln>
                  </pic:spPr>
                </pic:pic>
              </a:graphicData>
            </a:graphic>
          </wp:inline>
        </w:drawing>
      </w:r>
    </w:p>
    <w:p w:rsidR="00CB6392" w:rsidRDefault="00CB6392" w:rsidP="001F2C15">
      <w:pPr>
        <w:pStyle w:val="a3"/>
        <w:numPr>
          <w:ilvl w:val="2"/>
          <w:numId w:val="1"/>
        </w:numPr>
        <w:ind w:leftChars="0"/>
      </w:pPr>
      <w:r>
        <w:rPr>
          <w:rFonts w:hint="eastAsia"/>
        </w:rPr>
        <w:t>適用時期</w:t>
      </w:r>
      <w:r>
        <w:br/>
      </w:r>
      <w:r>
        <w:rPr>
          <w:rFonts w:hint="eastAsia"/>
        </w:rPr>
        <w:t>2018年4月1日から2021年3月31日までの間に開始する事業年度に適用。</w:t>
      </w:r>
    </w:p>
    <w:p w:rsidR="007D13ED" w:rsidRDefault="007D13ED">
      <w:pPr>
        <w:widowControl/>
        <w:jc w:val="left"/>
      </w:pPr>
      <w:r>
        <w:br w:type="page"/>
      </w:r>
    </w:p>
    <w:p w:rsidR="00A32566" w:rsidRPr="007C1414" w:rsidRDefault="007D13ED" w:rsidP="007D13ED">
      <w:pPr>
        <w:pStyle w:val="a3"/>
        <w:numPr>
          <w:ilvl w:val="1"/>
          <w:numId w:val="1"/>
        </w:numPr>
        <w:ind w:leftChars="0"/>
        <w:rPr>
          <w:highlight w:val="yellow"/>
          <w:bdr w:val="single" w:sz="4" w:space="0" w:color="auto"/>
        </w:rPr>
      </w:pPr>
      <w:r w:rsidRPr="007C1414">
        <w:rPr>
          <w:rFonts w:hint="eastAsia"/>
          <w:highlight w:val="yellow"/>
          <w:bdr w:val="single" w:sz="4" w:space="0" w:color="auto"/>
        </w:rPr>
        <w:lastRenderedPageBreak/>
        <w:t>情報連携投資等の促進に係る税制の創設</w:t>
      </w:r>
    </w:p>
    <w:p w:rsidR="007D13ED" w:rsidRDefault="007D13ED" w:rsidP="007D13ED">
      <w:pPr>
        <w:pStyle w:val="a3"/>
        <w:numPr>
          <w:ilvl w:val="2"/>
          <w:numId w:val="1"/>
        </w:numPr>
        <w:ind w:leftChars="0"/>
      </w:pPr>
      <w:r>
        <w:rPr>
          <w:rFonts w:hint="eastAsia"/>
        </w:rPr>
        <w:t>概要</w:t>
      </w:r>
      <w:r>
        <w:br/>
      </w:r>
      <w:r>
        <w:rPr>
          <w:rFonts w:hint="eastAsia"/>
        </w:rPr>
        <w:t>IoT（Internet of Things）の進展により、データを最大限活用することによる企業の競争力強化を目的として、一定の要件を満たすことで税額控除などが受けられる。</w:t>
      </w:r>
    </w:p>
    <w:p w:rsidR="00127EF9" w:rsidRDefault="007D13ED" w:rsidP="00127EF9">
      <w:pPr>
        <w:pStyle w:val="a3"/>
        <w:numPr>
          <w:ilvl w:val="2"/>
          <w:numId w:val="1"/>
        </w:numPr>
        <w:ind w:leftChars="0"/>
      </w:pPr>
      <w:r>
        <w:rPr>
          <w:rFonts w:hint="eastAsia"/>
        </w:rPr>
        <w:t>改正内容と適用要件</w:t>
      </w:r>
      <w:r>
        <w:br/>
      </w:r>
      <w:r w:rsidR="00127EF9">
        <w:rPr>
          <w:rFonts w:hint="eastAsia"/>
        </w:rPr>
        <w:t>「革新的事業活動による生産性の向上の実現のための臨時措置法（仮）」の革新的データ産業活用計画（仮）の認定を受けた青色申告法人が対象。</w:t>
      </w:r>
      <w:r w:rsidR="00127EF9">
        <w:br/>
      </w:r>
      <w:r w:rsidR="00127EF9">
        <w:rPr>
          <w:rFonts w:hint="eastAsia"/>
        </w:rPr>
        <w:t>5,000万円以上の設備の新設・増設をし、事業のように供した場合に適用。</w:t>
      </w:r>
      <w:r w:rsidR="00127EF9">
        <w:br/>
      </w:r>
      <w:r w:rsidR="00127EF9">
        <w:rPr>
          <w:rFonts w:hint="eastAsia"/>
        </w:rPr>
        <w:t>・特別償却…取得価額の合計額の30％</w:t>
      </w:r>
      <w:r w:rsidR="00127EF9">
        <w:br/>
      </w:r>
      <w:r w:rsidR="00127EF9">
        <w:rPr>
          <w:rFonts w:hint="eastAsia"/>
        </w:rPr>
        <w:t>・税額控除…取得価額の合計額の5％（1人当たり平均給与3％以上増加の</w:t>
      </w:r>
      <w:r w:rsidR="00127EF9">
        <w:br/>
      </w:r>
      <w:r w:rsidR="00127EF9">
        <w:rPr>
          <w:rFonts w:hint="eastAsia"/>
        </w:rPr>
        <w:t xml:space="preserve">　要件を満たさない場合には3％）</w:t>
      </w:r>
      <w:r w:rsidR="00127EF9">
        <w:br/>
      </w:r>
      <w:r w:rsidR="00127EF9">
        <w:rPr>
          <w:rFonts w:hint="eastAsia"/>
        </w:rPr>
        <w:t xml:space="preserve">　※当期の法人税額の20％を上限とする。</w:t>
      </w:r>
    </w:p>
    <w:p w:rsidR="00CB6392" w:rsidRDefault="00CB6392" w:rsidP="00127EF9">
      <w:pPr>
        <w:pStyle w:val="a3"/>
        <w:numPr>
          <w:ilvl w:val="2"/>
          <w:numId w:val="1"/>
        </w:numPr>
        <w:ind w:leftChars="0"/>
      </w:pPr>
      <w:r>
        <w:rPr>
          <w:rFonts w:hint="eastAsia"/>
        </w:rPr>
        <w:t>適用時期</w:t>
      </w:r>
      <w:r>
        <w:br/>
      </w:r>
      <w:r>
        <w:rPr>
          <w:rFonts w:hint="eastAsia"/>
        </w:rPr>
        <w:t>同法施行日から2021年3月31日までの間に取得等をし、事業の用に供した場合に適用。</w:t>
      </w:r>
    </w:p>
    <w:p w:rsidR="00314F33" w:rsidRPr="00CB6392" w:rsidRDefault="00314F33" w:rsidP="00314F33"/>
    <w:p w:rsidR="00314F33" w:rsidRPr="007C1414" w:rsidRDefault="00314F33" w:rsidP="00314F33">
      <w:pPr>
        <w:pStyle w:val="a3"/>
        <w:numPr>
          <w:ilvl w:val="1"/>
          <w:numId w:val="1"/>
        </w:numPr>
        <w:ind w:leftChars="0"/>
        <w:rPr>
          <w:highlight w:val="yellow"/>
          <w:bdr w:val="single" w:sz="4" w:space="0" w:color="auto"/>
        </w:rPr>
      </w:pPr>
      <w:r w:rsidRPr="007C1414">
        <w:rPr>
          <w:rFonts w:hint="eastAsia"/>
          <w:highlight w:val="yellow"/>
          <w:bdr w:val="single" w:sz="4" w:space="0" w:color="auto"/>
        </w:rPr>
        <w:t>事業再編に係る株式譲渡益の繰り延べ</w:t>
      </w:r>
    </w:p>
    <w:p w:rsidR="00314F33" w:rsidRDefault="00314F33" w:rsidP="00314F33">
      <w:pPr>
        <w:pStyle w:val="a3"/>
        <w:numPr>
          <w:ilvl w:val="2"/>
          <w:numId w:val="1"/>
        </w:numPr>
        <w:ind w:leftChars="0"/>
      </w:pPr>
      <w:r>
        <w:rPr>
          <w:rFonts w:hint="eastAsia"/>
        </w:rPr>
        <w:t>概要</w:t>
      </w:r>
      <w:r>
        <w:br/>
      </w:r>
      <w:r>
        <w:rPr>
          <w:rFonts w:hint="eastAsia"/>
        </w:rPr>
        <w:t>企業買収において買収を行う会社が買収される会社の株主への対価として自社の株式を渡した場合には、買収される会社の株主はその譲渡により発生した譲渡益の計上をしなくてはならなかった。今回の改正で、譲渡益への課税を繰り延べることが出来るようになり税負担が軽減されることとなった。</w:t>
      </w:r>
    </w:p>
    <w:p w:rsidR="00314F33" w:rsidRDefault="00314F33" w:rsidP="00314F33">
      <w:pPr>
        <w:pStyle w:val="a3"/>
        <w:numPr>
          <w:ilvl w:val="2"/>
          <w:numId w:val="1"/>
        </w:numPr>
        <w:ind w:leftChars="0"/>
      </w:pPr>
      <w:r>
        <w:rPr>
          <w:rFonts w:hint="eastAsia"/>
        </w:rPr>
        <w:t>改正内容</w:t>
      </w:r>
      <w:r>
        <w:br/>
      </w:r>
      <w:r>
        <w:rPr>
          <w:rFonts w:hint="eastAsia"/>
        </w:rPr>
        <w:t>「特別事業再編計画に基づく産業競争力強化法の特別事業再編計画（仮）」の認定を受けた事業者が、その計画に基づく事業再編により、株式を譲渡した場合、</w:t>
      </w:r>
      <w:r w:rsidR="00E17075">
        <w:rPr>
          <w:rFonts w:hint="eastAsia"/>
        </w:rPr>
        <w:t>買収される会社の株主は、株式の譲渡益に対する課税を繰り延べることが出来るようになった。</w:t>
      </w:r>
    </w:p>
    <w:p w:rsidR="007C1414" w:rsidRDefault="00CB6392" w:rsidP="00314F33">
      <w:pPr>
        <w:pStyle w:val="a3"/>
        <w:numPr>
          <w:ilvl w:val="2"/>
          <w:numId w:val="1"/>
        </w:numPr>
        <w:ind w:leftChars="0"/>
      </w:pPr>
      <w:r>
        <w:rPr>
          <w:rFonts w:hint="eastAsia"/>
        </w:rPr>
        <w:t>適用時期</w:t>
      </w:r>
      <w:r>
        <w:br/>
      </w:r>
      <w:r>
        <w:rPr>
          <w:rFonts w:hint="eastAsia"/>
        </w:rPr>
        <w:t>同法改正法施行日から2021年3月31日まで。</w:t>
      </w:r>
    </w:p>
    <w:p w:rsidR="007C1414" w:rsidRDefault="007C1414">
      <w:pPr>
        <w:widowControl/>
        <w:jc w:val="left"/>
      </w:pPr>
      <w:r>
        <w:br w:type="page"/>
      </w:r>
    </w:p>
    <w:p w:rsidR="0085592A" w:rsidRPr="007C1414" w:rsidRDefault="0085592A" w:rsidP="0085592A">
      <w:pPr>
        <w:pStyle w:val="a3"/>
        <w:numPr>
          <w:ilvl w:val="1"/>
          <w:numId w:val="1"/>
        </w:numPr>
        <w:ind w:leftChars="0"/>
        <w:rPr>
          <w:highlight w:val="yellow"/>
          <w:bdr w:val="single" w:sz="4" w:space="0" w:color="auto"/>
        </w:rPr>
      </w:pPr>
      <w:r w:rsidRPr="007C1414">
        <w:rPr>
          <w:rFonts w:hint="eastAsia"/>
          <w:highlight w:val="yellow"/>
          <w:bdr w:val="single" w:sz="4" w:space="0" w:color="auto"/>
        </w:rPr>
        <w:lastRenderedPageBreak/>
        <w:t>電子申告の義務化</w:t>
      </w:r>
    </w:p>
    <w:p w:rsidR="0085592A" w:rsidRDefault="0085592A" w:rsidP="0085592A">
      <w:pPr>
        <w:pStyle w:val="a3"/>
        <w:numPr>
          <w:ilvl w:val="2"/>
          <w:numId w:val="1"/>
        </w:numPr>
        <w:ind w:leftChars="0"/>
      </w:pPr>
      <w:r>
        <w:rPr>
          <w:rFonts w:hint="eastAsia"/>
        </w:rPr>
        <w:t>概要</w:t>
      </w:r>
      <w:r>
        <w:br/>
      </w:r>
      <w:r>
        <w:rPr>
          <w:rFonts w:hint="eastAsia"/>
        </w:rPr>
        <w:t>データの円滑な利用を進めることで、社会全体のコスト削減および企業の生産性向上を図ることを目的とする。</w:t>
      </w:r>
    </w:p>
    <w:p w:rsidR="0085592A" w:rsidRDefault="0085592A" w:rsidP="0085592A">
      <w:pPr>
        <w:pStyle w:val="a3"/>
        <w:numPr>
          <w:ilvl w:val="2"/>
          <w:numId w:val="1"/>
        </w:numPr>
        <w:ind w:leftChars="0"/>
      </w:pPr>
      <w:r>
        <w:rPr>
          <w:rFonts w:hint="eastAsia"/>
        </w:rPr>
        <w:t>改正内容</w:t>
      </w:r>
      <w:r>
        <w:br/>
      </w:r>
      <w:r>
        <w:rPr>
          <w:rFonts w:hint="eastAsia"/>
        </w:rPr>
        <w:t>大法人は法人税等の申告について、電子申告が義務化される。</w:t>
      </w:r>
    </w:p>
    <w:p w:rsidR="0085592A" w:rsidRDefault="0085592A" w:rsidP="0085592A">
      <w:pPr>
        <w:pStyle w:val="a3"/>
        <w:ind w:leftChars="0" w:left="1260"/>
      </w:pPr>
      <w:r w:rsidRPr="0085592A">
        <w:rPr>
          <w:rFonts w:hint="eastAsia"/>
          <w:noProof/>
        </w:rPr>
        <w:drawing>
          <wp:inline distT="0" distB="0" distL="0" distR="0">
            <wp:extent cx="4924425" cy="819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819150"/>
                    </a:xfrm>
                    <a:prstGeom prst="rect">
                      <a:avLst/>
                    </a:prstGeom>
                    <a:noFill/>
                    <a:ln>
                      <a:noFill/>
                    </a:ln>
                  </pic:spPr>
                </pic:pic>
              </a:graphicData>
            </a:graphic>
          </wp:inline>
        </w:drawing>
      </w:r>
    </w:p>
    <w:p w:rsidR="00CB6392" w:rsidRDefault="00CB6392" w:rsidP="00CB6392">
      <w:pPr>
        <w:pStyle w:val="a3"/>
        <w:numPr>
          <w:ilvl w:val="2"/>
          <w:numId w:val="1"/>
        </w:numPr>
        <w:ind w:leftChars="0"/>
      </w:pPr>
      <w:r>
        <w:rPr>
          <w:rFonts w:hint="eastAsia"/>
        </w:rPr>
        <w:t>適用時期</w:t>
      </w:r>
      <w:r>
        <w:br/>
      </w:r>
      <w:r>
        <w:rPr>
          <w:rFonts w:hint="eastAsia"/>
        </w:rPr>
        <w:t>2020年4月1日以後に開始する事業年度について適用。</w:t>
      </w:r>
      <w:r>
        <w:br/>
      </w:r>
      <w:r>
        <w:rPr>
          <w:rFonts w:hint="eastAsia"/>
        </w:rPr>
        <w:t xml:space="preserve">※　</w:t>
      </w:r>
      <w:r w:rsidR="00DD5F35">
        <w:rPr>
          <w:rFonts w:hint="eastAsia"/>
        </w:rPr>
        <w:t>近い将来、大法人以外の法人も適用対象となる可能性がある。</w:t>
      </w:r>
    </w:p>
    <w:p w:rsidR="00DD5F35" w:rsidRDefault="00DD5F35" w:rsidP="00DD5F35"/>
    <w:p w:rsidR="0085592A" w:rsidRPr="007C1414" w:rsidRDefault="00CB6392" w:rsidP="00CB6392">
      <w:pPr>
        <w:pStyle w:val="a3"/>
        <w:numPr>
          <w:ilvl w:val="1"/>
          <w:numId w:val="1"/>
        </w:numPr>
        <w:ind w:leftChars="0"/>
        <w:rPr>
          <w:highlight w:val="yellow"/>
          <w:bdr w:val="single" w:sz="4" w:space="0" w:color="auto"/>
        </w:rPr>
      </w:pPr>
      <w:r w:rsidRPr="007C1414">
        <w:rPr>
          <w:rFonts w:hint="eastAsia"/>
          <w:highlight w:val="yellow"/>
          <w:bdr w:val="single" w:sz="4" w:space="0" w:color="auto"/>
        </w:rPr>
        <w:t>中小企業等経営強化法の改正に伴う登録免許税・不動産取得税の軽減措置</w:t>
      </w:r>
    </w:p>
    <w:p w:rsidR="00CB6392" w:rsidRDefault="00CB6392" w:rsidP="00CB6392">
      <w:pPr>
        <w:pStyle w:val="a3"/>
        <w:numPr>
          <w:ilvl w:val="2"/>
          <w:numId w:val="1"/>
        </w:numPr>
        <w:ind w:leftChars="0"/>
      </w:pPr>
      <w:r>
        <w:rPr>
          <w:rFonts w:hint="eastAsia"/>
        </w:rPr>
        <w:t>概要</w:t>
      </w:r>
      <w:r>
        <w:br/>
      </w:r>
      <w:r>
        <w:rPr>
          <w:rFonts w:hint="eastAsia"/>
        </w:rPr>
        <w:t>後継者が不在のため事業承継が行えない場合、M&amp;Aにより経営資源や事業の再編・統合を図ることにより、事業の継続・技術の伝承をはかることが重要となる。そのため、中小企業等経営強化法を改正し、M&amp;Aによる事業承継を支援対象に追加することで、第三者への事業承継を後押しすることになった。</w:t>
      </w:r>
    </w:p>
    <w:p w:rsidR="00CB6392" w:rsidRDefault="00CB6392" w:rsidP="0076188D">
      <w:pPr>
        <w:pStyle w:val="a3"/>
        <w:numPr>
          <w:ilvl w:val="2"/>
          <w:numId w:val="1"/>
        </w:numPr>
        <w:ind w:leftChars="0"/>
      </w:pPr>
      <w:r>
        <w:rPr>
          <w:rFonts w:hint="eastAsia"/>
        </w:rPr>
        <w:t>改正内容</w:t>
      </w:r>
      <w:r>
        <w:br/>
      </w:r>
      <w:r>
        <w:rPr>
          <w:rFonts w:hint="eastAsia"/>
        </w:rPr>
        <w:t>認定を受けた経営力向上計画(仮称)に基づいて、再編・統合を行った際に係る登録面鏡税・不動産取得税が軽減される。</w:t>
      </w:r>
      <w:r w:rsidR="0076188D">
        <w:br/>
      </w:r>
      <w:r w:rsidR="0076188D" w:rsidRPr="0076188D">
        <w:rPr>
          <w:noProof/>
        </w:rPr>
        <w:drawing>
          <wp:inline distT="0" distB="0" distL="0" distR="0">
            <wp:extent cx="4467225" cy="2114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2114550"/>
                    </a:xfrm>
                    <a:prstGeom prst="rect">
                      <a:avLst/>
                    </a:prstGeom>
                    <a:noFill/>
                    <a:ln>
                      <a:noFill/>
                    </a:ln>
                  </pic:spPr>
                </pic:pic>
              </a:graphicData>
            </a:graphic>
          </wp:inline>
        </w:drawing>
      </w:r>
    </w:p>
    <w:p w:rsidR="0076188D" w:rsidRDefault="00DD5F35" w:rsidP="00CB6392">
      <w:pPr>
        <w:pStyle w:val="a3"/>
        <w:numPr>
          <w:ilvl w:val="2"/>
          <w:numId w:val="1"/>
        </w:numPr>
        <w:ind w:leftChars="0"/>
      </w:pPr>
      <w:r>
        <w:rPr>
          <w:rFonts w:hint="eastAsia"/>
        </w:rPr>
        <w:t>適用時期</w:t>
      </w:r>
      <w:r>
        <w:br/>
      </w:r>
      <w:r>
        <w:rPr>
          <w:rFonts w:hint="eastAsia"/>
        </w:rPr>
        <w:lastRenderedPageBreak/>
        <w:t>登録免許税…法改正の日から2020年3月31日までに認定を受けた経営力向上計画(仮称)に基づき行われる合併、分割等による不動産所有権の移転登記に適用。</w:t>
      </w:r>
      <w:r>
        <w:br/>
      </w:r>
      <w:r>
        <w:rPr>
          <w:rFonts w:hint="eastAsia"/>
        </w:rPr>
        <w:t>不動産取得税…経営力向上計画(仮称)に従って2020年3月31日までに譲渡を受ける一定の不動産に係る不動産取得税について適用。</w:t>
      </w:r>
    </w:p>
    <w:p w:rsidR="0076188D" w:rsidRDefault="0076188D">
      <w:pPr>
        <w:widowControl/>
        <w:jc w:val="left"/>
      </w:pPr>
    </w:p>
    <w:p w:rsidR="00DD5F35" w:rsidRPr="007C1414" w:rsidRDefault="0076188D" w:rsidP="0076188D">
      <w:pPr>
        <w:pStyle w:val="a3"/>
        <w:numPr>
          <w:ilvl w:val="1"/>
          <w:numId w:val="1"/>
        </w:numPr>
        <w:ind w:leftChars="0"/>
        <w:rPr>
          <w:highlight w:val="yellow"/>
          <w:bdr w:val="single" w:sz="4" w:space="0" w:color="auto"/>
        </w:rPr>
      </w:pPr>
      <w:r w:rsidRPr="007C1414">
        <w:rPr>
          <w:rFonts w:hint="eastAsia"/>
          <w:highlight w:val="yellow"/>
          <w:bdr w:val="single" w:sz="4" w:space="0" w:color="auto"/>
        </w:rPr>
        <w:t>その他の税制</w:t>
      </w:r>
    </w:p>
    <w:p w:rsidR="0076188D" w:rsidRDefault="0076188D" w:rsidP="0076188D">
      <w:pPr>
        <w:pStyle w:val="a3"/>
        <w:numPr>
          <w:ilvl w:val="2"/>
          <w:numId w:val="1"/>
        </w:numPr>
        <w:ind w:leftChars="0"/>
      </w:pPr>
      <w:r>
        <w:rPr>
          <w:rFonts w:hint="eastAsia"/>
        </w:rPr>
        <w:t>中小企業の欠損金の繰戻しによる還付制度の延長</w:t>
      </w:r>
    </w:p>
    <w:p w:rsidR="0076188D" w:rsidRDefault="0076188D" w:rsidP="0076188D">
      <w:pPr>
        <w:pStyle w:val="a3"/>
        <w:ind w:leftChars="0" w:left="1260"/>
      </w:pPr>
      <w:r>
        <w:rPr>
          <w:rFonts w:hint="eastAsia"/>
        </w:rPr>
        <w:t>欠損金の繰戻し還付制度は、欠損金額が生じた事業年度において、その欠損金額をその全事業年度に繰戻して法人税額の還付を請求できるというもの。</w:t>
      </w:r>
      <w:r>
        <w:br/>
      </w:r>
      <w:r>
        <w:rPr>
          <w:rFonts w:hint="eastAsia"/>
        </w:rPr>
        <w:t>今回の改正で、制度の適用期間が2年延長され、2019年度末までとされた。</w:t>
      </w:r>
    </w:p>
    <w:p w:rsidR="0076188D" w:rsidRDefault="0076188D" w:rsidP="0076188D">
      <w:pPr>
        <w:pStyle w:val="a3"/>
        <w:numPr>
          <w:ilvl w:val="2"/>
          <w:numId w:val="1"/>
        </w:numPr>
        <w:ind w:leftChars="0"/>
      </w:pPr>
      <w:r>
        <w:rPr>
          <w:rFonts w:hint="eastAsia"/>
        </w:rPr>
        <w:t>エネルギー環境負荷低減推進設備等を取得した場合の特別償却または税額控除の廃止</w:t>
      </w:r>
      <w:r>
        <w:br/>
      </w:r>
      <w:r>
        <w:rPr>
          <w:rFonts w:hint="eastAsia"/>
        </w:rPr>
        <w:t>法人が太陽光発電設備等を取得した場合に特別償却または税額控除の適用を受けられる制度が2018年3月31日までの適用期限をもって廃止された。</w:t>
      </w:r>
    </w:p>
    <w:p w:rsidR="0076188D" w:rsidRDefault="0076188D" w:rsidP="0076188D">
      <w:pPr>
        <w:pStyle w:val="a3"/>
        <w:numPr>
          <w:ilvl w:val="2"/>
          <w:numId w:val="1"/>
        </w:numPr>
        <w:ind w:leftChars="0"/>
      </w:pPr>
      <w:r>
        <w:rPr>
          <w:rFonts w:hint="eastAsia"/>
        </w:rPr>
        <w:t>収益の額の法令上の明確化</w:t>
      </w:r>
      <w:r>
        <w:br/>
      </w:r>
      <w:r>
        <w:rPr>
          <w:rFonts w:hint="eastAsia"/>
        </w:rPr>
        <w:t>収益の額として所得の金額の計算上益金の額に算入する金額が法令上明確化された。</w:t>
      </w:r>
    </w:p>
    <w:p w:rsidR="0076188D" w:rsidRDefault="0076188D" w:rsidP="0076188D">
      <w:pPr>
        <w:pStyle w:val="a3"/>
        <w:numPr>
          <w:ilvl w:val="3"/>
          <w:numId w:val="1"/>
        </w:numPr>
        <w:ind w:leftChars="0"/>
      </w:pPr>
      <w:r>
        <w:rPr>
          <w:rFonts w:hint="eastAsia"/>
        </w:rPr>
        <w:t>資産の販売等に係る収益の額…その販売、譲渡した資産の引き渡しの時における価額</w:t>
      </w:r>
    </w:p>
    <w:p w:rsidR="0076188D" w:rsidRDefault="0076188D" w:rsidP="0076188D">
      <w:pPr>
        <w:pStyle w:val="a3"/>
        <w:numPr>
          <w:ilvl w:val="3"/>
          <w:numId w:val="1"/>
        </w:numPr>
        <w:ind w:leftChars="0"/>
      </w:pPr>
      <w:r>
        <w:rPr>
          <w:rFonts w:hint="eastAsia"/>
        </w:rPr>
        <w:t>役務の提供をした場合の収益の額…提供をした役務につき通常得るべき対価の額に相当する額</w:t>
      </w:r>
    </w:p>
    <w:p w:rsidR="0076188D" w:rsidRDefault="0076188D" w:rsidP="0076188D">
      <w:pPr>
        <w:ind w:left="1260"/>
      </w:pPr>
      <w:r>
        <w:rPr>
          <w:rFonts w:hint="eastAsia"/>
        </w:rPr>
        <w:t>(貸倒または買い戻しの可能性がある場合においても、その可能性がないものとした場合の価額とする)</w:t>
      </w:r>
    </w:p>
    <w:p w:rsidR="00F604E8" w:rsidRDefault="0076188D" w:rsidP="0076188D">
      <w:pPr>
        <w:pStyle w:val="a3"/>
        <w:numPr>
          <w:ilvl w:val="2"/>
          <w:numId w:val="1"/>
        </w:numPr>
        <w:ind w:leftChars="0"/>
      </w:pPr>
      <w:r>
        <w:rPr>
          <w:rFonts w:hint="eastAsia"/>
        </w:rPr>
        <w:t>収益の認識時期の法令上の明確化</w:t>
      </w:r>
      <w:r>
        <w:br/>
      </w:r>
      <w:r>
        <w:rPr>
          <w:rFonts w:hint="eastAsia"/>
        </w:rPr>
        <w:t>収益を計上するべき時期が法令上明確化された。</w:t>
      </w:r>
      <w:r>
        <w:br/>
      </w:r>
      <w:r>
        <w:rPr>
          <w:rFonts w:hint="eastAsia"/>
        </w:rPr>
        <w:t>＜原則＞</w:t>
      </w:r>
      <w:r>
        <w:br/>
      </w:r>
      <w:r>
        <w:rPr>
          <w:rFonts w:hint="eastAsia"/>
        </w:rPr>
        <w:t>資産の販売等に係る収益の額は、目的物の引き渡しまたは役務の提供の日の属する事業年度の益金の額に算入されることとなる。</w:t>
      </w:r>
      <w:r>
        <w:br/>
      </w:r>
      <w:r>
        <w:rPr>
          <w:rFonts w:hint="eastAsia"/>
        </w:rPr>
        <w:t>＜例外＞</w:t>
      </w:r>
      <w:r>
        <w:br/>
      </w:r>
      <w:r>
        <w:rPr>
          <w:rFonts w:hint="eastAsia"/>
        </w:rPr>
        <w:t>資産の販売等に係る収益の額につき、一般に公正妥当と認められる会計処理の基準に従って、上記の＜原則＞に近接する日の属する事業年度の収益の額として経理した場合には、当該事業年度の益金の額に算入される。</w:t>
      </w:r>
    </w:p>
    <w:p w:rsidR="00F604E8" w:rsidRDefault="00F604E8">
      <w:pPr>
        <w:widowControl/>
        <w:jc w:val="left"/>
      </w:pPr>
      <w:r>
        <w:br w:type="page"/>
      </w:r>
    </w:p>
    <w:p w:rsidR="0076188D" w:rsidRPr="00C05F32" w:rsidRDefault="00F604E8" w:rsidP="00F604E8">
      <w:pPr>
        <w:pStyle w:val="a3"/>
        <w:numPr>
          <w:ilvl w:val="0"/>
          <w:numId w:val="1"/>
        </w:numPr>
        <w:ind w:leftChars="0"/>
        <w:rPr>
          <w:b/>
        </w:rPr>
      </w:pPr>
      <w:r w:rsidRPr="00C05F32">
        <w:rPr>
          <w:rFonts w:hint="eastAsia"/>
          <w:b/>
        </w:rPr>
        <w:lastRenderedPageBreak/>
        <w:t>個人向け税制改正のポイント</w:t>
      </w:r>
    </w:p>
    <w:p w:rsidR="00F604E8" w:rsidRPr="007C1414" w:rsidRDefault="00F604E8" w:rsidP="00F604E8">
      <w:pPr>
        <w:pStyle w:val="a3"/>
        <w:numPr>
          <w:ilvl w:val="1"/>
          <w:numId w:val="1"/>
        </w:numPr>
        <w:ind w:leftChars="0"/>
        <w:rPr>
          <w:highlight w:val="yellow"/>
          <w:bdr w:val="single" w:sz="4" w:space="0" w:color="auto"/>
        </w:rPr>
      </w:pPr>
      <w:r w:rsidRPr="007C1414">
        <w:rPr>
          <w:rFonts w:hint="eastAsia"/>
          <w:highlight w:val="yellow"/>
          <w:bdr w:val="single" w:sz="4" w:space="0" w:color="auto"/>
        </w:rPr>
        <w:t>給与所得控除の引き下げ</w:t>
      </w:r>
    </w:p>
    <w:p w:rsidR="00F604E8" w:rsidRDefault="00F604E8" w:rsidP="00F604E8">
      <w:pPr>
        <w:pStyle w:val="a3"/>
        <w:numPr>
          <w:ilvl w:val="2"/>
          <w:numId w:val="1"/>
        </w:numPr>
        <w:ind w:leftChars="0"/>
      </w:pPr>
      <w:r>
        <w:rPr>
          <w:rFonts w:hint="eastAsia"/>
        </w:rPr>
        <w:t>概要</w:t>
      </w:r>
      <w:r>
        <w:br/>
      </w:r>
      <w:r>
        <w:rPr>
          <w:rFonts w:hint="eastAsia"/>
        </w:rPr>
        <w:t>個人事業主には会社員にある給与所得控除がなく、基礎控除のみとなっている。また、給与所得控除は高所得者ほど税負担の軽減効果が大きくなる。これらの働き方の多様化を踏まえたうえで、高所得者についての税負担を見直すため、給与所得控除の改正が行われた。</w:t>
      </w:r>
    </w:p>
    <w:p w:rsidR="00F604E8" w:rsidRDefault="00F604E8" w:rsidP="00365229">
      <w:pPr>
        <w:pStyle w:val="a3"/>
        <w:numPr>
          <w:ilvl w:val="2"/>
          <w:numId w:val="1"/>
        </w:numPr>
        <w:ind w:leftChars="0"/>
      </w:pPr>
      <w:r>
        <w:rPr>
          <w:rFonts w:hint="eastAsia"/>
        </w:rPr>
        <w:t>改正内容</w:t>
      </w:r>
      <w:r>
        <w:br/>
      </w:r>
      <w:r>
        <w:rPr>
          <w:rFonts w:hint="eastAsia"/>
        </w:rPr>
        <w:t>〇　給与所得控除を一律10万円引き下げ。</w:t>
      </w:r>
      <w:r>
        <w:br/>
      </w:r>
      <w:r>
        <w:rPr>
          <w:rFonts w:hint="eastAsia"/>
        </w:rPr>
        <w:t>〇　給与所得控除の上限が見直された。</w:t>
      </w:r>
      <w:r>
        <w:br/>
      </w:r>
      <w:r>
        <w:rPr>
          <w:rFonts w:hint="eastAsia"/>
        </w:rPr>
        <w:t xml:space="preserve">　　改正前：給与等収入1,000万円超</w:t>
      </w:r>
      <w:r>
        <w:br/>
      </w:r>
      <w:r>
        <w:rPr>
          <w:rFonts w:hint="eastAsia"/>
        </w:rPr>
        <w:t xml:space="preserve">　　　　　　➡給与所得控除額の上限額220万円</w:t>
      </w:r>
      <w:r>
        <w:br/>
      </w:r>
      <w:r>
        <w:rPr>
          <w:rFonts w:hint="eastAsia"/>
        </w:rPr>
        <w:t xml:space="preserve">　　改正後：給与等収入850万円超</w:t>
      </w:r>
      <w:r>
        <w:br/>
      </w:r>
      <w:r>
        <w:rPr>
          <w:rFonts w:hint="eastAsia"/>
        </w:rPr>
        <w:t xml:space="preserve">　　　　　　➡給与所得控除額の上限額195万円</w:t>
      </w:r>
      <w:r>
        <w:br/>
      </w:r>
      <w:r>
        <w:rPr>
          <w:rFonts w:hint="eastAsia"/>
        </w:rPr>
        <w:t>〇　一方で、基礎控除については控除額を10万円引き上げている</w:t>
      </w:r>
      <w:r w:rsidR="00365229">
        <w:br/>
      </w:r>
      <w:r w:rsidR="00365229" w:rsidRPr="00365229">
        <w:rPr>
          <w:rFonts w:hint="eastAsia"/>
          <w:noProof/>
        </w:rPr>
        <w:drawing>
          <wp:inline distT="0" distB="0" distL="0" distR="0">
            <wp:extent cx="3895725" cy="14668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466850"/>
                    </a:xfrm>
                    <a:prstGeom prst="rect">
                      <a:avLst/>
                    </a:prstGeom>
                    <a:noFill/>
                    <a:ln>
                      <a:noFill/>
                    </a:ln>
                  </pic:spPr>
                </pic:pic>
              </a:graphicData>
            </a:graphic>
          </wp:inline>
        </w:drawing>
      </w:r>
    </w:p>
    <w:p w:rsidR="00365229" w:rsidRDefault="00365229" w:rsidP="00365229">
      <w:pPr>
        <w:pStyle w:val="a3"/>
        <w:numPr>
          <w:ilvl w:val="2"/>
          <w:numId w:val="1"/>
        </w:numPr>
        <w:ind w:leftChars="0"/>
      </w:pPr>
      <w:r>
        <w:rPr>
          <w:rFonts w:hint="eastAsia"/>
        </w:rPr>
        <w:t>適用時期</w:t>
      </w:r>
      <w:r>
        <w:br/>
      </w:r>
      <w:r>
        <w:rPr>
          <w:rFonts w:hint="eastAsia"/>
        </w:rPr>
        <w:t>2020年分の所得税(個人住民税は2021年度分)から適用。</w:t>
      </w:r>
    </w:p>
    <w:p w:rsidR="00365229" w:rsidRDefault="00365229" w:rsidP="00365229"/>
    <w:p w:rsidR="00365229" w:rsidRPr="007C1414" w:rsidRDefault="00365229" w:rsidP="00365229">
      <w:pPr>
        <w:pStyle w:val="a3"/>
        <w:numPr>
          <w:ilvl w:val="1"/>
          <w:numId w:val="1"/>
        </w:numPr>
        <w:ind w:leftChars="0"/>
        <w:rPr>
          <w:highlight w:val="yellow"/>
          <w:bdr w:val="single" w:sz="4" w:space="0" w:color="auto"/>
        </w:rPr>
      </w:pPr>
      <w:r w:rsidRPr="007C1414">
        <w:rPr>
          <w:rFonts w:hint="eastAsia"/>
          <w:highlight w:val="yellow"/>
          <w:bdr w:val="single" w:sz="4" w:space="0" w:color="auto"/>
        </w:rPr>
        <w:t>公的年金等控除の引き下げ</w:t>
      </w:r>
    </w:p>
    <w:p w:rsidR="00365229" w:rsidRDefault="00365229" w:rsidP="007C1414">
      <w:pPr>
        <w:pStyle w:val="a3"/>
        <w:numPr>
          <w:ilvl w:val="2"/>
          <w:numId w:val="1"/>
        </w:numPr>
        <w:ind w:leftChars="0"/>
      </w:pPr>
      <w:r>
        <w:rPr>
          <w:rFonts w:hint="eastAsia"/>
        </w:rPr>
        <w:t>概要</w:t>
      </w:r>
      <w:r>
        <w:br/>
      </w:r>
      <w:r>
        <w:rPr>
          <w:rFonts w:hint="eastAsia"/>
        </w:rPr>
        <w:t>年金収入が増加しても控除額に上限がなく、年金以外の所得が高くても、年金所得のみで暮らす人と同額の公的年金等控除が受けられるなど、高所得の年金受給者にとっては手厚い仕組みとなっていた。</w:t>
      </w:r>
      <w:r>
        <w:br/>
      </w:r>
      <w:r>
        <w:rPr>
          <w:rFonts w:hint="eastAsia"/>
        </w:rPr>
        <w:t>また、諸外国は基本的に拠出段階・給付段階のいずれかで課税される仕組みとなっているが、日本では拠出段階では保険料が全額所得控除され、給付段階でも公的年金等控除が受けられる。</w:t>
      </w:r>
      <w:r>
        <w:br/>
      </w:r>
      <w:r>
        <w:rPr>
          <w:rFonts w:hint="eastAsia"/>
        </w:rPr>
        <w:t>こうした状況を踏まえ、世代内・世代間の公平性を確保する観点から公的年金</w:t>
      </w:r>
      <w:r>
        <w:rPr>
          <w:rFonts w:hint="eastAsia"/>
        </w:rPr>
        <w:lastRenderedPageBreak/>
        <w:t>等控除が改正された。</w:t>
      </w:r>
    </w:p>
    <w:p w:rsidR="00F22032" w:rsidRDefault="00365229" w:rsidP="00F22032">
      <w:pPr>
        <w:pStyle w:val="a3"/>
        <w:numPr>
          <w:ilvl w:val="2"/>
          <w:numId w:val="1"/>
        </w:numPr>
        <w:ind w:leftChars="0"/>
      </w:pPr>
      <w:r>
        <w:rPr>
          <w:rFonts w:hint="eastAsia"/>
        </w:rPr>
        <w:t>改正内容</w:t>
      </w:r>
      <w:r w:rsidR="00F22032">
        <w:br/>
      </w:r>
      <w:r w:rsidR="00F22032">
        <w:rPr>
          <w:rFonts w:hint="eastAsia"/>
        </w:rPr>
        <w:t>〇　公的年金等控除額を一律10万円引き下げ。</w:t>
      </w:r>
      <w:r w:rsidR="00F22032">
        <w:br/>
      </w:r>
      <w:r w:rsidR="00F22032">
        <w:rPr>
          <w:rFonts w:hint="eastAsia"/>
        </w:rPr>
        <w:t>〇　公的年金等の収入が1,000万円超の場合の控除額について、195.5万円の</w:t>
      </w:r>
      <w:r w:rsidR="00F22032">
        <w:br/>
      </w:r>
      <w:r w:rsidR="00F22032">
        <w:rPr>
          <w:rFonts w:hint="eastAsia"/>
        </w:rPr>
        <w:t xml:space="preserve">　　上限が設けられる。</w:t>
      </w:r>
      <w:r w:rsidR="00F22032">
        <w:br/>
      </w:r>
      <w:r w:rsidR="00F22032">
        <w:rPr>
          <w:rFonts w:hint="eastAsia"/>
        </w:rPr>
        <w:t>〇　公的年金等に係る雑所得以外の所得の合計所得金額が1,000万円超</w:t>
      </w:r>
      <w:r w:rsidR="00F22032">
        <w:br/>
      </w:r>
      <w:r w:rsidR="00F22032">
        <w:rPr>
          <w:rFonts w:hint="eastAsia"/>
        </w:rPr>
        <w:t xml:space="preserve">　　2,000万円以下の場合には、控除額がさらに一律10万円、2,000万円超の</w:t>
      </w:r>
      <w:r w:rsidR="00F22032">
        <w:br/>
      </w:r>
      <w:r w:rsidR="00F22032">
        <w:rPr>
          <w:rFonts w:hint="eastAsia"/>
        </w:rPr>
        <w:t xml:space="preserve">　　場合には一律20万円引き下げられる。</w:t>
      </w:r>
    </w:p>
    <w:p w:rsidR="00F22032" w:rsidRDefault="00F22032" w:rsidP="00F22032">
      <w:pPr>
        <w:pStyle w:val="a3"/>
        <w:numPr>
          <w:ilvl w:val="2"/>
          <w:numId w:val="1"/>
        </w:numPr>
        <w:ind w:leftChars="0"/>
      </w:pPr>
      <w:r>
        <w:rPr>
          <w:rFonts w:hint="eastAsia"/>
        </w:rPr>
        <w:t>適用時期</w:t>
      </w:r>
      <w:r>
        <w:br/>
      </w:r>
      <w:r>
        <w:rPr>
          <w:rFonts w:hint="eastAsia"/>
        </w:rPr>
        <w:t>2020年分の所得税(個人住民税は2021年度分)から適用。</w:t>
      </w:r>
    </w:p>
    <w:p w:rsidR="00F76B16" w:rsidRDefault="00F76B16" w:rsidP="00F76B16"/>
    <w:p w:rsidR="00F76B16" w:rsidRPr="007C1414" w:rsidRDefault="00F76B16" w:rsidP="00F76B16">
      <w:pPr>
        <w:pStyle w:val="a3"/>
        <w:numPr>
          <w:ilvl w:val="1"/>
          <w:numId w:val="1"/>
        </w:numPr>
        <w:ind w:leftChars="0"/>
        <w:rPr>
          <w:highlight w:val="yellow"/>
          <w:bdr w:val="single" w:sz="4" w:space="0" w:color="auto"/>
        </w:rPr>
      </w:pPr>
      <w:r w:rsidRPr="007C1414">
        <w:rPr>
          <w:rFonts w:hint="eastAsia"/>
          <w:highlight w:val="yellow"/>
          <w:bdr w:val="single" w:sz="4" w:space="0" w:color="auto"/>
        </w:rPr>
        <w:t>基礎控除の見直し</w:t>
      </w:r>
    </w:p>
    <w:p w:rsidR="00F76B16" w:rsidRDefault="00F76B16" w:rsidP="00F76B16">
      <w:pPr>
        <w:pStyle w:val="a3"/>
        <w:numPr>
          <w:ilvl w:val="2"/>
          <w:numId w:val="1"/>
        </w:numPr>
        <w:ind w:leftChars="0"/>
      </w:pPr>
      <w:r>
        <w:rPr>
          <w:rFonts w:hint="eastAsia"/>
        </w:rPr>
        <w:t>概要</w:t>
      </w:r>
      <w:r>
        <w:br/>
      </w:r>
      <w:r>
        <w:rPr>
          <w:rFonts w:hint="eastAsia"/>
        </w:rPr>
        <w:t>基礎控除は、すべての納税者が無条件に一定額を差し引くことができる所得控除である。しかし、高所得者にまで税負担の軽減効果を及ぼす必要は乏しいのではないかと指摘されてきたことなどを踏まえ、特に高額の所得者に限って控除を逓減・消失されることとなった。</w:t>
      </w:r>
    </w:p>
    <w:p w:rsidR="00F76B16" w:rsidRDefault="00F76B16" w:rsidP="00F76B16">
      <w:pPr>
        <w:pStyle w:val="a3"/>
        <w:numPr>
          <w:ilvl w:val="2"/>
          <w:numId w:val="1"/>
        </w:numPr>
        <w:ind w:leftChars="0"/>
      </w:pPr>
      <w:r>
        <w:rPr>
          <w:rFonts w:hint="eastAsia"/>
        </w:rPr>
        <w:t>改正内容</w:t>
      </w:r>
      <w:r>
        <w:br/>
      </w:r>
      <w:r>
        <w:rPr>
          <w:rFonts w:hint="eastAsia"/>
        </w:rPr>
        <w:t>〇　基礎控除を一律10万円引き上げる。</w:t>
      </w:r>
      <w:r>
        <w:br/>
      </w:r>
      <w:r>
        <w:rPr>
          <w:rFonts w:hint="eastAsia"/>
        </w:rPr>
        <w:t>〇　合計所得金額が2,400万円を超える個人については、その合計所得金額</w:t>
      </w:r>
      <w:r>
        <w:br/>
      </w:r>
      <w:r>
        <w:rPr>
          <w:rFonts w:hint="eastAsia"/>
        </w:rPr>
        <w:t xml:space="preserve">　　に応じて控除額が逓減する。合計所得金額が2,500万円を超える個人に</w:t>
      </w:r>
      <w:r>
        <w:br/>
      </w:r>
      <w:r>
        <w:rPr>
          <w:rFonts w:hint="eastAsia"/>
        </w:rPr>
        <w:t xml:space="preserve">　　ついては、基礎控除の適用がなくなる。</w:t>
      </w:r>
      <w:r>
        <w:br/>
      </w:r>
      <w:r w:rsidRPr="00F76B16">
        <w:rPr>
          <w:rFonts w:hint="eastAsia"/>
          <w:noProof/>
        </w:rPr>
        <w:drawing>
          <wp:inline distT="0" distB="0" distL="0" distR="0">
            <wp:extent cx="3895725" cy="9810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725" cy="981075"/>
                    </a:xfrm>
                    <a:prstGeom prst="rect">
                      <a:avLst/>
                    </a:prstGeom>
                    <a:noFill/>
                    <a:ln>
                      <a:noFill/>
                    </a:ln>
                  </pic:spPr>
                </pic:pic>
              </a:graphicData>
            </a:graphic>
          </wp:inline>
        </w:drawing>
      </w:r>
    </w:p>
    <w:p w:rsidR="00F76B16" w:rsidRDefault="00F76B16" w:rsidP="00F76B16"/>
    <w:p w:rsidR="00F76B16" w:rsidRPr="007C1414" w:rsidRDefault="00F76B16" w:rsidP="00F76B16">
      <w:pPr>
        <w:pStyle w:val="a3"/>
        <w:numPr>
          <w:ilvl w:val="1"/>
          <w:numId w:val="1"/>
        </w:numPr>
        <w:ind w:leftChars="0"/>
        <w:rPr>
          <w:highlight w:val="yellow"/>
          <w:bdr w:val="single" w:sz="4" w:space="0" w:color="auto"/>
        </w:rPr>
      </w:pPr>
      <w:r w:rsidRPr="007C1414">
        <w:rPr>
          <w:rFonts w:hint="eastAsia"/>
          <w:highlight w:val="yellow"/>
          <w:bdr w:val="single" w:sz="4" w:space="0" w:color="auto"/>
        </w:rPr>
        <w:t>青色申告特別控除の引き下げ</w:t>
      </w:r>
    </w:p>
    <w:p w:rsidR="00F76B16" w:rsidRDefault="00F76B16" w:rsidP="00F76B16">
      <w:pPr>
        <w:pStyle w:val="a3"/>
        <w:numPr>
          <w:ilvl w:val="2"/>
          <w:numId w:val="1"/>
        </w:numPr>
        <w:ind w:leftChars="0"/>
      </w:pPr>
      <w:r>
        <w:rPr>
          <w:rFonts w:hint="eastAsia"/>
        </w:rPr>
        <w:t>概要</w:t>
      </w:r>
      <w:r>
        <w:br/>
      </w:r>
      <w:r>
        <w:rPr>
          <w:rFonts w:hint="eastAsia"/>
        </w:rPr>
        <w:t>正規の簿記の原則により記帳し、不動産所得や事業所得を生ずべき事業を行っている人は、青色申告特別控除が受けられる。今回の改正でこの控除額が引き下げられた。</w:t>
      </w:r>
    </w:p>
    <w:p w:rsidR="00F76B16" w:rsidRDefault="00F76B16" w:rsidP="007D57C6">
      <w:pPr>
        <w:pStyle w:val="a3"/>
        <w:numPr>
          <w:ilvl w:val="2"/>
          <w:numId w:val="1"/>
        </w:numPr>
        <w:ind w:leftChars="0"/>
      </w:pPr>
      <w:r>
        <w:rPr>
          <w:rFonts w:hint="eastAsia"/>
        </w:rPr>
        <w:t>改正内容</w:t>
      </w:r>
      <w:r>
        <w:br/>
      </w:r>
      <w:r>
        <w:rPr>
          <w:rFonts w:hint="eastAsia"/>
        </w:rPr>
        <w:lastRenderedPageBreak/>
        <w:t>〇　正規の簿記の原則に従って記帳している人に係る青色申告特別控除の</w:t>
      </w:r>
      <w:r>
        <w:br/>
      </w:r>
      <w:r>
        <w:rPr>
          <w:rFonts w:hint="eastAsia"/>
        </w:rPr>
        <w:t xml:space="preserve">　　控除額が55万円に引き下げられる。</w:t>
      </w:r>
      <w:r>
        <w:br/>
      </w:r>
      <w:r>
        <w:rPr>
          <w:rFonts w:hint="eastAsia"/>
        </w:rPr>
        <w:t>〇　ただし正規の簿記の原則に従って記帳している人で電子申告等要件を</w:t>
      </w:r>
      <w:r>
        <w:br/>
      </w:r>
      <w:r>
        <w:rPr>
          <w:rFonts w:hint="eastAsia"/>
        </w:rPr>
        <w:t xml:space="preserve">　　</w:t>
      </w:r>
      <w:r w:rsidR="007D57C6">
        <w:rPr>
          <w:rFonts w:hint="eastAsia"/>
        </w:rPr>
        <w:t>満たす場合には青色申告特別控除額は65万円のままとなる。</w:t>
      </w:r>
      <w:r w:rsidR="007D57C6">
        <w:br/>
      </w:r>
      <w:r w:rsidR="007D57C6" w:rsidRPr="007D57C6">
        <w:rPr>
          <w:rFonts w:hint="eastAsia"/>
          <w:noProof/>
        </w:rPr>
        <w:drawing>
          <wp:inline distT="0" distB="0" distL="0" distR="0">
            <wp:extent cx="5267325" cy="10953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095375"/>
                    </a:xfrm>
                    <a:prstGeom prst="rect">
                      <a:avLst/>
                    </a:prstGeom>
                    <a:noFill/>
                    <a:ln>
                      <a:noFill/>
                    </a:ln>
                  </pic:spPr>
                </pic:pic>
              </a:graphicData>
            </a:graphic>
          </wp:inline>
        </w:drawing>
      </w:r>
    </w:p>
    <w:p w:rsidR="007D57C6" w:rsidRDefault="007D57C6" w:rsidP="007D57C6">
      <w:pPr>
        <w:pStyle w:val="a3"/>
        <w:numPr>
          <w:ilvl w:val="2"/>
          <w:numId w:val="1"/>
        </w:numPr>
        <w:ind w:leftChars="0"/>
      </w:pPr>
      <w:r>
        <w:rPr>
          <w:rFonts w:hint="eastAsia"/>
        </w:rPr>
        <w:t>適用時期</w:t>
      </w:r>
      <w:r>
        <w:br/>
      </w:r>
      <w:r>
        <w:rPr>
          <w:rFonts w:hint="eastAsia"/>
        </w:rPr>
        <w:t>2020年分の所得税(個人住民税は2021年度分)から適用。</w:t>
      </w:r>
    </w:p>
    <w:p w:rsidR="007D57C6" w:rsidRDefault="007D57C6" w:rsidP="007D57C6"/>
    <w:p w:rsidR="007D57C6" w:rsidRPr="007C1414" w:rsidRDefault="007D57C6" w:rsidP="007D57C6">
      <w:pPr>
        <w:pStyle w:val="a3"/>
        <w:numPr>
          <w:ilvl w:val="1"/>
          <w:numId w:val="1"/>
        </w:numPr>
        <w:ind w:leftChars="0"/>
        <w:rPr>
          <w:highlight w:val="yellow"/>
          <w:bdr w:val="single" w:sz="4" w:space="0" w:color="auto"/>
        </w:rPr>
      </w:pPr>
      <w:r w:rsidRPr="007C1414">
        <w:rPr>
          <w:rFonts w:hint="eastAsia"/>
          <w:highlight w:val="yellow"/>
          <w:bdr w:val="single" w:sz="4" w:space="0" w:color="auto"/>
        </w:rPr>
        <w:t>NISA口座開設の簡略化</w:t>
      </w:r>
    </w:p>
    <w:p w:rsidR="007D57C6" w:rsidRDefault="007D57C6" w:rsidP="007D57C6">
      <w:pPr>
        <w:pStyle w:val="a3"/>
        <w:numPr>
          <w:ilvl w:val="2"/>
          <w:numId w:val="1"/>
        </w:numPr>
        <w:ind w:leftChars="0"/>
      </w:pPr>
      <w:r>
        <w:rPr>
          <w:rFonts w:hint="eastAsia"/>
        </w:rPr>
        <w:t>概要</w:t>
      </w:r>
      <w:r>
        <w:br/>
      </w:r>
      <w:r>
        <w:rPr>
          <w:rFonts w:hint="eastAsia"/>
        </w:rPr>
        <w:t>NISA口座開設後、一度も買い付けが行われていない口座が相当数にのぼるなど、NISA口座稼働率の向上が課題となっている。こうした状況を踏まえてNISA口座の稼働率向上のため</w:t>
      </w:r>
      <w:r w:rsidR="0008246B">
        <w:rPr>
          <w:rFonts w:hint="eastAsia"/>
        </w:rPr>
        <w:t>開設</w:t>
      </w:r>
      <w:r>
        <w:rPr>
          <w:rFonts w:hint="eastAsia"/>
        </w:rPr>
        <w:t>手続</w:t>
      </w:r>
      <w:r w:rsidR="0008246B">
        <w:rPr>
          <w:rFonts w:hint="eastAsia"/>
        </w:rPr>
        <w:t>きフローの見直しが行われる。</w:t>
      </w:r>
    </w:p>
    <w:p w:rsidR="0008246B" w:rsidRDefault="0008246B" w:rsidP="007D57C6">
      <w:pPr>
        <w:pStyle w:val="a3"/>
        <w:numPr>
          <w:ilvl w:val="2"/>
          <w:numId w:val="1"/>
        </w:numPr>
        <w:ind w:leftChars="0"/>
      </w:pPr>
      <w:r>
        <w:rPr>
          <w:rFonts w:hint="eastAsia"/>
        </w:rPr>
        <w:t>改正内容</w:t>
      </w:r>
      <w:r>
        <w:br/>
      </w:r>
      <w:r>
        <w:rPr>
          <w:rFonts w:hint="eastAsia"/>
        </w:rPr>
        <w:t>NISA口座を即日で開設し、同日に買い付けることが可能となる。</w:t>
      </w:r>
      <w:r>
        <w:br/>
      </w:r>
      <w:r>
        <w:rPr>
          <w:rFonts w:hint="eastAsia"/>
        </w:rPr>
        <w:t>〇　税務署での二重口座確認前にNISA口座を開設できる簡易届出の仕組み</w:t>
      </w:r>
      <w:r>
        <w:br/>
      </w:r>
      <w:r>
        <w:rPr>
          <w:rFonts w:hint="eastAsia"/>
        </w:rPr>
        <w:t xml:space="preserve">　　を創設。</w:t>
      </w:r>
      <w:r>
        <w:br/>
      </w:r>
      <w:r>
        <w:rPr>
          <w:rFonts w:hint="eastAsia"/>
        </w:rPr>
        <w:t>〇　税務署は事後的に二重口座の確認を行い、結果を金融機関に連絡する。</w:t>
      </w:r>
      <w:r>
        <w:br/>
      </w:r>
      <w:r>
        <w:rPr>
          <w:rFonts w:hint="eastAsia"/>
        </w:rPr>
        <w:t xml:space="preserve">　　仮に二重口座であった場合には、金融機関はNISA口座で買い付けられて</w:t>
      </w:r>
      <w:r>
        <w:br/>
      </w:r>
      <w:r>
        <w:rPr>
          <w:rFonts w:hint="eastAsia"/>
        </w:rPr>
        <w:t xml:space="preserve">　　いた商品を開設当初に遡及して一般口座へ移管する。</w:t>
      </w:r>
    </w:p>
    <w:p w:rsidR="005F31C5" w:rsidRDefault="0008246B" w:rsidP="007D243E">
      <w:pPr>
        <w:pStyle w:val="a3"/>
        <w:numPr>
          <w:ilvl w:val="2"/>
          <w:numId w:val="1"/>
        </w:numPr>
        <w:ind w:leftChars="0"/>
      </w:pPr>
      <w:r>
        <w:rPr>
          <w:rFonts w:hint="eastAsia"/>
        </w:rPr>
        <w:t>適用時期</w:t>
      </w:r>
      <w:r>
        <w:br/>
      </w:r>
      <w:r>
        <w:rPr>
          <w:rFonts w:hint="eastAsia"/>
        </w:rPr>
        <w:t>2019年1月1日以後に非課税口座簡易開設届出書が提出される場合に適用。</w:t>
      </w:r>
      <w:r w:rsidR="007D243E">
        <w:br/>
      </w:r>
      <w:r w:rsidR="007D243E" w:rsidRPr="007D243E">
        <w:rPr>
          <w:rFonts w:hint="eastAsia"/>
          <w:noProof/>
        </w:rPr>
        <w:drawing>
          <wp:inline distT="0" distB="0" distL="0" distR="0">
            <wp:extent cx="5396331" cy="1976718"/>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928" cy="1983530"/>
                    </a:xfrm>
                    <a:prstGeom prst="rect">
                      <a:avLst/>
                    </a:prstGeom>
                    <a:noFill/>
                    <a:ln>
                      <a:noFill/>
                    </a:ln>
                  </pic:spPr>
                </pic:pic>
              </a:graphicData>
            </a:graphic>
          </wp:inline>
        </w:drawing>
      </w:r>
    </w:p>
    <w:p w:rsidR="007D243E" w:rsidRPr="007C1414" w:rsidRDefault="007D243E" w:rsidP="007D243E">
      <w:pPr>
        <w:pStyle w:val="a3"/>
        <w:numPr>
          <w:ilvl w:val="1"/>
          <w:numId w:val="1"/>
        </w:numPr>
        <w:ind w:leftChars="0"/>
        <w:rPr>
          <w:highlight w:val="yellow"/>
          <w:bdr w:val="single" w:sz="4" w:space="0" w:color="auto"/>
        </w:rPr>
      </w:pPr>
      <w:r w:rsidRPr="007C1414">
        <w:rPr>
          <w:rFonts w:hint="eastAsia"/>
          <w:highlight w:val="yellow"/>
          <w:bdr w:val="single" w:sz="4" w:space="0" w:color="auto"/>
        </w:rPr>
        <w:lastRenderedPageBreak/>
        <w:t>事業承継税制の特例の創設</w:t>
      </w:r>
    </w:p>
    <w:p w:rsidR="007D243E" w:rsidRDefault="007D243E" w:rsidP="007D243E">
      <w:pPr>
        <w:pStyle w:val="a3"/>
        <w:numPr>
          <w:ilvl w:val="2"/>
          <w:numId w:val="1"/>
        </w:numPr>
        <w:ind w:leftChars="0"/>
      </w:pPr>
      <w:r>
        <w:rPr>
          <w:rFonts w:hint="eastAsia"/>
        </w:rPr>
        <w:t>概要</w:t>
      </w:r>
      <w:r>
        <w:br/>
      </w:r>
      <w:r>
        <w:rPr>
          <w:rFonts w:hint="eastAsia"/>
        </w:rPr>
        <w:t>中小企業の経営者の高齢化が急速に進展する中で、円滑な代替わりを即すため、10年間の特例措置として、事業承継税制が抜本的に拡充された。</w:t>
      </w:r>
    </w:p>
    <w:p w:rsidR="005F31C5" w:rsidRDefault="007D243E" w:rsidP="005F31C5">
      <w:pPr>
        <w:pStyle w:val="a3"/>
        <w:numPr>
          <w:ilvl w:val="2"/>
          <w:numId w:val="1"/>
        </w:numPr>
        <w:ind w:leftChars="0"/>
      </w:pPr>
      <w:r>
        <w:rPr>
          <w:rFonts w:hint="eastAsia"/>
        </w:rPr>
        <w:t>改正内容</w:t>
      </w:r>
      <w:r>
        <w:br/>
      </w:r>
      <w:r>
        <w:rPr>
          <w:rFonts w:hint="eastAsia"/>
        </w:rPr>
        <w:t>〇　納税猶予の対象株式数の制限がなくなる。</w:t>
      </w:r>
      <w:r w:rsidR="004F7BEA">
        <w:br/>
      </w:r>
      <w:r w:rsidR="004F7BEA" w:rsidRPr="004F7BEA">
        <w:rPr>
          <w:noProof/>
        </w:rPr>
        <w:drawing>
          <wp:inline distT="0" distB="0" distL="0" distR="0">
            <wp:extent cx="4238625" cy="45434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4543425"/>
                    </a:xfrm>
                    <a:prstGeom prst="rect">
                      <a:avLst/>
                    </a:prstGeom>
                    <a:noFill/>
                    <a:ln>
                      <a:noFill/>
                    </a:ln>
                  </pic:spPr>
                </pic:pic>
              </a:graphicData>
            </a:graphic>
          </wp:inline>
        </w:drawing>
      </w:r>
      <w:r>
        <w:br/>
      </w:r>
      <w:r>
        <w:rPr>
          <w:rFonts w:hint="eastAsia"/>
        </w:rPr>
        <w:t>〇　納税猶予の対象株式に係る相続税の全額が猶予される。</w:t>
      </w:r>
      <w:r>
        <w:br/>
      </w:r>
      <w:r>
        <w:rPr>
          <w:rFonts w:hint="eastAsia"/>
        </w:rPr>
        <w:t>〇　納税猶予継続のための雇用確保要件が大幅に緩和される。</w:t>
      </w:r>
      <w:r w:rsidR="005F31C5">
        <w:br/>
      </w:r>
      <w:r w:rsidR="005F31C5">
        <w:rPr>
          <w:rFonts w:hint="eastAsia"/>
        </w:rPr>
        <w:t>〇　特例後継者が贈与者の推定相続人以外の場合であっても相続時精算課税</w:t>
      </w:r>
      <w:r w:rsidR="005F31C5">
        <w:br/>
      </w:r>
      <w:r w:rsidR="005F31C5">
        <w:rPr>
          <w:rFonts w:hint="eastAsia"/>
        </w:rPr>
        <w:t xml:space="preserve">　　制度の適用が可能となる。</w:t>
      </w:r>
      <w:r w:rsidR="005F31C5">
        <w:br/>
      </w:r>
      <w:r w:rsidR="005F31C5">
        <w:rPr>
          <w:rFonts w:hint="eastAsia"/>
        </w:rPr>
        <w:t>〇　一定の要件を満たす場合、納税猶予対象株式の譲渡、合併、解散等に</w:t>
      </w:r>
      <w:r w:rsidR="005F31C5">
        <w:br/>
      </w:r>
      <w:r w:rsidR="005F31C5">
        <w:rPr>
          <w:rFonts w:hint="eastAsia"/>
        </w:rPr>
        <w:t xml:space="preserve">　　ついては納付額の減免措置が講じられる。</w:t>
      </w:r>
      <w:r w:rsidR="005F31C5">
        <w:br/>
      </w:r>
    </w:p>
    <w:p w:rsidR="005F31C5" w:rsidRDefault="005F31C5">
      <w:pPr>
        <w:widowControl/>
        <w:jc w:val="left"/>
      </w:pPr>
      <w:r>
        <w:br w:type="page"/>
      </w:r>
    </w:p>
    <w:p w:rsidR="007D243E" w:rsidRDefault="007D243E" w:rsidP="005F31C5">
      <w:pPr>
        <w:pStyle w:val="a3"/>
        <w:ind w:leftChars="0" w:left="1260"/>
      </w:pPr>
      <w:r>
        <w:rPr>
          <w:rFonts w:hint="eastAsia"/>
        </w:rPr>
        <w:lastRenderedPageBreak/>
        <w:t>〇　適用対象者の拡大により承継パターンが多様化される。</w:t>
      </w:r>
      <w:r w:rsidR="005F31C5">
        <w:br/>
      </w:r>
      <w:r w:rsidR="005F31C5" w:rsidRPr="005F31C5">
        <w:rPr>
          <w:noProof/>
        </w:rPr>
        <w:drawing>
          <wp:inline distT="0" distB="0" distL="0" distR="0">
            <wp:extent cx="3590925" cy="51911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0925" cy="5191125"/>
                    </a:xfrm>
                    <a:prstGeom prst="rect">
                      <a:avLst/>
                    </a:prstGeom>
                    <a:noFill/>
                    <a:ln>
                      <a:noFill/>
                    </a:ln>
                  </pic:spPr>
                </pic:pic>
              </a:graphicData>
            </a:graphic>
          </wp:inline>
        </w:drawing>
      </w:r>
    </w:p>
    <w:p w:rsidR="005F31C5" w:rsidRDefault="004F7BEA" w:rsidP="000008FE">
      <w:pPr>
        <w:pStyle w:val="a3"/>
        <w:widowControl/>
        <w:numPr>
          <w:ilvl w:val="2"/>
          <w:numId w:val="1"/>
        </w:numPr>
        <w:ind w:leftChars="0"/>
        <w:jc w:val="left"/>
      </w:pPr>
      <w:r>
        <w:rPr>
          <w:rFonts w:hint="eastAsia"/>
        </w:rPr>
        <w:t>適用時期</w:t>
      </w:r>
      <w:r>
        <w:br/>
      </w:r>
      <w:r>
        <w:rPr>
          <w:rFonts w:hint="eastAsia"/>
        </w:rPr>
        <w:t>2018年1月1日から2027年12月31日までの間に贈与・相続等により取得する財産に係る贈与税または相続税について適用。</w:t>
      </w:r>
    </w:p>
    <w:p w:rsidR="007C1414" w:rsidRDefault="007C1414" w:rsidP="007C1414">
      <w:pPr>
        <w:widowControl/>
        <w:jc w:val="left"/>
        <w:rPr>
          <w:rFonts w:hint="eastAsia"/>
        </w:rPr>
      </w:pPr>
    </w:p>
    <w:p w:rsidR="00436725" w:rsidRPr="007C1414" w:rsidRDefault="005F31C5" w:rsidP="005F31C5">
      <w:pPr>
        <w:pStyle w:val="a3"/>
        <w:numPr>
          <w:ilvl w:val="1"/>
          <w:numId w:val="1"/>
        </w:numPr>
        <w:ind w:leftChars="0"/>
        <w:rPr>
          <w:highlight w:val="yellow"/>
          <w:bdr w:val="single" w:sz="4" w:space="0" w:color="auto"/>
        </w:rPr>
      </w:pPr>
      <w:r w:rsidRPr="007C1414">
        <w:rPr>
          <w:rFonts w:hint="eastAsia"/>
          <w:highlight w:val="yellow"/>
          <w:bdr w:val="single" w:sz="4" w:space="0" w:color="auto"/>
        </w:rPr>
        <w:t>小規模宅地等の特例の見直し</w:t>
      </w:r>
    </w:p>
    <w:p w:rsidR="005F31C5" w:rsidRDefault="005F31C5" w:rsidP="005F31C5">
      <w:pPr>
        <w:pStyle w:val="a3"/>
        <w:numPr>
          <w:ilvl w:val="2"/>
          <w:numId w:val="1"/>
        </w:numPr>
        <w:ind w:leftChars="0"/>
      </w:pPr>
      <w:r>
        <w:rPr>
          <w:rFonts w:hint="eastAsia"/>
        </w:rPr>
        <w:t>概要</w:t>
      </w:r>
      <w:r>
        <w:br/>
      </w:r>
      <w:r>
        <w:rPr>
          <w:rFonts w:hint="eastAsia"/>
        </w:rPr>
        <w:t>小規模宅地等の特例は、事業用または居住用の宅地等の相続税の課税価格を軽減することで、相続人の事業または居住の継続等に配慮することを目的として創設された制度。しかし、制度目的に沿っていない特例の利用が行われている現状を踏まえ、見直しが行われた。</w:t>
      </w:r>
    </w:p>
    <w:p w:rsidR="005F31C5" w:rsidRDefault="005F31C5" w:rsidP="005F31C5">
      <w:pPr>
        <w:pStyle w:val="a3"/>
        <w:numPr>
          <w:ilvl w:val="2"/>
          <w:numId w:val="1"/>
        </w:numPr>
        <w:ind w:leftChars="0"/>
      </w:pPr>
      <w:r>
        <w:rPr>
          <w:rFonts w:hint="eastAsia"/>
        </w:rPr>
        <w:t>改正内容</w:t>
      </w:r>
    </w:p>
    <w:p w:rsidR="005F31C5" w:rsidRDefault="005F31C5" w:rsidP="005F31C5">
      <w:pPr>
        <w:pStyle w:val="a3"/>
        <w:numPr>
          <w:ilvl w:val="3"/>
          <w:numId w:val="1"/>
        </w:numPr>
        <w:ind w:leftChars="0"/>
      </w:pPr>
      <w:r>
        <w:rPr>
          <w:rFonts w:hint="eastAsia"/>
        </w:rPr>
        <w:lastRenderedPageBreak/>
        <w:t>別居親族に係る特例の適用対象者の範囲の縮小</w:t>
      </w:r>
      <w:r>
        <w:br/>
      </w:r>
      <w:r>
        <w:rPr>
          <w:rFonts w:hint="eastAsia"/>
        </w:rPr>
        <w:t>持ち家に居住していない人に係る特定居住用宅地等の特例の対象者の範囲が縮小。</w:t>
      </w:r>
      <w:r>
        <w:br/>
      </w:r>
      <w:r w:rsidRPr="005F31C5">
        <w:rPr>
          <w:noProof/>
        </w:rPr>
        <w:drawing>
          <wp:inline distT="0" distB="0" distL="0" distR="0">
            <wp:extent cx="4010025" cy="19526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0025" cy="1952625"/>
                    </a:xfrm>
                    <a:prstGeom prst="rect">
                      <a:avLst/>
                    </a:prstGeom>
                    <a:noFill/>
                    <a:ln>
                      <a:noFill/>
                    </a:ln>
                  </pic:spPr>
                </pic:pic>
              </a:graphicData>
            </a:graphic>
          </wp:inline>
        </w:drawing>
      </w:r>
    </w:p>
    <w:p w:rsidR="007641A6" w:rsidRDefault="005F31C5" w:rsidP="007C1414">
      <w:pPr>
        <w:pStyle w:val="a3"/>
        <w:numPr>
          <w:ilvl w:val="3"/>
          <w:numId w:val="1"/>
        </w:numPr>
        <w:ind w:leftChars="0"/>
      </w:pPr>
      <w:r>
        <w:rPr>
          <w:rFonts w:hint="eastAsia"/>
        </w:rPr>
        <w:t>貸付事業用宅地等の範囲の縮小</w:t>
      </w:r>
      <w:r>
        <w:br/>
      </w:r>
      <w:r>
        <w:rPr>
          <w:rFonts w:hint="eastAsia"/>
        </w:rPr>
        <w:t>貸付事業用宅地等の範囲から、相続開始前3年以内に貸付事業のように供された宅地等が除外。ただし、相続開始前3年を超えて事業的規模で貸付事業を行っている場合は特例の対象。</w:t>
      </w:r>
      <w:r w:rsidR="007641A6">
        <w:br/>
      </w:r>
      <w:r w:rsidR="007641A6" w:rsidRPr="007641A6">
        <w:rPr>
          <w:noProof/>
        </w:rPr>
        <w:drawing>
          <wp:inline distT="0" distB="0" distL="0" distR="0">
            <wp:extent cx="4010025" cy="13049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1304925"/>
                    </a:xfrm>
                    <a:prstGeom prst="rect">
                      <a:avLst/>
                    </a:prstGeom>
                    <a:noFill/>
                    <a:ln>
                      <a:noFill/>
                    </a:ln>
                  </pic:spPr>
                </pic:pic>
              </a:graphicData>
            </a:graphic>
          </wp:inline>
        </w:drawing>
      </w:r>
    </w:p>
    <w:p w:rsidR="005F31C5" w:rsidRDefault="005F31C5" w:rsidP="007641A6">
      <w:pPr>
        <w:pStyle w:val="a3"/>
        <w:numPr>
          <w:ilvl w:val="3"/>
          <w:numId w:val="1"/>
        </w:numPr>
        <w:ind w:leftChars="0"/>
      </w:pPr>
      <w:r>
        <w:rPr>
          <w:rFonts w:hint="eastAsia"/>
        </w:rPr>
        <w:t>被相続人の居住の用に供されていた宅地等の範囲の拡大</w:t>
      </w:r>
      <w:r>
        <w:br/>
      </w:r>
      <w:r>
        <w:rPr>
          <w:rFonts w:hint="eastAsia"/>
        </w:rPr>
        <w:t>介護医療院に入所したことにより、被相続人の居住の用に供されなくなった家屋の敷地の用に供されていた宅地等について、被相続人の居住の用に供されていたものとして本特例が適用される。</w:t>
      </w:r>
      <w:r w:rsidR="007641A6">
        <w:br/>
      </w:r>
      <w:r w:rsidR="007641A6" w:rsidRPr="007641A6">
        <w:rPr>
          <w:noProof/>
        </w:rPr>
        <w:drawing>
          <wp:inline distT="0" distB="0" distL="0" distR="0">
            <wp:extent cx="4010025" cy="13049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0025" cy="1304925"/>
                    </a:xfrm>
                    <a:prstGeom prst="rect">
                      <a:avLst/>
                    </a:prstGeom>
                    <a:noFill/>
                    <a:ln>
                      <a:noFill/>
                    </a:ln>
                  </pic:spPr>
                </pic:pic>
              </a:graphicData>
            </a:graphic>
          </wp:inline>
        </w:drawing>
      </w:r>
    </w:p>
    <w:p w:rsidR="005F31C5" w:rsidRDefault="005F31C5" w:rsidP="005F31C5">
      <w:pPr>
        <w:pStyle w:val="a3"/>
        <w:numPr>
          <w:ilvl w:val="2"/>
          <w:numId w:val="1"/>
        </w:numPr>
        <w:ind w:leftChars="0"/>
      </w:pPr>
      <w:r>
        <w:rPr>
          <w:rFonts w:hint="eastAsia"/>
        </w:rPr>
        <w:t>適用時期</w:t>
      </w:r>
      <w:r>
        <w:br/>
      </w:r>
      <w:r>
        <w:rPr>
          <w:rFonts w:hint="eastAsia"/>
        </w:rPr>
        <w:t>2018年4月1日以後に相続または遺贈により取得する財産に係る相続税について適用。</w:t>
      </w:r>
    </w:p>
    <w:p w:rsidR="007641A6" w:rsidRDefault="007641A6" w:rsidP="007641A6"/>
    <w:p w:rsidR="007641A6" w:rsidRPr="007C1414" w:rsidRDefault="007641A6" w:rsidP="007641A6">
      <w:pPr>
        <w:pStyle w:val="a3"/>
        <w:numPr>
          <w:ilvl w:val="1"/>
          <w:numId w:val="1"/>
        </w:numPr>
        <w:ind w:leftChars="0"/>
        <w:rPr>
          <w:highlight w:val="yellow"/>
          <w:bdr w:val="single" w:sz="4" w:space="0" w:color="auto"/>
        </w:rPr>
      </w:pPr>
      <w:r w:rsidRPr="007C1414">
        <w:rPr>
          <w:rFonts w:hint="eastAsia"/>
          <w:highlight w:val="yellow"/>
          <w:bdr w:val="single" w:sz="4" w:space="0" w:color="auto"/>
        </w:rPr>
        <w:lastRenderedPageBreak/>
        <w:t>国際観光旅客税の創設</w:t>
      </w:r>
    </w:p>
    <w:p w:rsidR="007641A6" w:rsidRDefault="007641A6" w:rsidP="007641A6">
      <w:pPr>
        <w:pStyle w:val="a3"/>
        <w:numPr>
          <w:ilvl w:val="2"/>
          <w:numId w:val="1"/>
        </w:numPr>
        <w:ind w:leftChars="0"/>
      </w:pPr>
      <w:r>
        <w:rPr>
          <w:rFonts w:hint="eastAsia"/>
        </w:rPr>
        <w:t>概要</w:t>
      </w:r>
      <w:r>
        <w:br/>
      </w:r>
      <w:r>
        <w:rPr>
          <w:rFonts w:hint="eastAsia"/>
        </w:rPr>
        <w:t>観光立国実現に向けた観光基盤の拡充・強化を図る観点から、観光促進のための税として、日本からの出国者に広く浅く負担を求める国際観光旅客税が創設された。</w:t>
      </w:r>
      <w:r w:rsidR="00E75061">
        <w:rPr>
          <w:rFonts w:hint="eastAsia"/>
        </w:rPr>
        <w:t>税収は、①ストレスフリーで快適に旅行できる環境の整備、②我が国の多様な魅力に関する情報の入手の容易化、③地域固有の文化、自然等を活用した観光資源の整備等による地域での体験滞在の満足度向上、の3つの分野に充てるとされている。</w:t>
      </w:r>
    </w:p>
    <w:p w:rsidR="007C1414" w:rsidRDefault="00E75061" w:rsidP="00C05F32">
      <w:pPr>
        <w:pStyle w:val="a3"/>
        <w:numPr>
          <w:ilvl w:val="2"/>
          <w:numId w:val="1"/>
        </w:numPr>
        <w:ind w:leftChars="0"/>
      </w:pPr>
      <w:r>
        <w:rPr>
          <w:rFonts w:hint="eastAsia"/>
        </w:rPr>
        <w:t>改正内容</w:t>
      </w:r>
      <w:r>
        <w:br/>
      </w:r>
      <w:r>
        <w:rPr>
          <w:rFonts w:hint="eastAsia"/>
        </w:rPr>
        <w:t>国際線船舶等により、日本から出国する国際観光旅客等は、出国1回につき1人1,000円の国際観光旅客税を納める。</w:t>
      </w:r>
      <w:r>
        <w:br/>
      </w:r>
      <w:r>
        <w:rPr>
          <w:rFonts w:hint="eastAsia"/>
        </w:rPr>
        <w:t>＜非課税等＞</w:t>
      </w:r>
      <w:r>
        <w:br/>
      </w:r>
      <w:r>
        <w:rPr>
          <w:rFonts w:hint="eastAsia"/>
        </w:rPr>
        <w:t>〇航空機により入国後24時間以内に出国する乗継旅客</w:t>
      </w:r>
      <w:r>
        <w:br/>
      </w:r>
      <w:r>
        <w:rPr>
          <w:rFonts w:hint="eastAsia"/>
        </w:rPr>
        <w:t>〇日本から出国したが天候その他の理由により日本に帰ってきた人</w:t>
      </w:r>
      <w:r>
        <w:br/>
      </w:r>
      <w:r>
        <w:rPr>
          <w:rFonts w:hint="eastAsia"/>
        </w:rPr>
        <w:t>〇2歳未満の子ども　など</w:t>
      </w:r>
      <w:r>
        <w:br/>
      </w:r>
      <w:r>
        <w:rPr>
          <w:rFonts w:hint="eastAsia"/>
        </w:rPr>
        <w:t>＜徴収・納付等＞</w:t>
      </w:r>
      <w:r>
        <w:br/>
      </w:r>
      <w:r>
        <w:rPr>
          <w:rFonts w:hint="eastAsia"/>
        </w:rPr>
        <w:t>〇プライベートジェット等による出国は、国際観光旅客等自身が航空機等に</w:t>
      </w:r>
      <w:r>
        <w:br/>
      </w:r>
      <w:r>
        <w:rPr>
          <w:rFonts w:hint="eastAsia"/>
        </w:rPr>
        <w:t xml:space="preserve">　搭乗するときまでに国に納付</w:t>
      </w:r>
      <w:r>
        <w:br/>
      </w:r>
      <w:r>
        <w:rPr>
          <w:rFonts w:hint="eastAsia"/>
        </w:rPr>
        <w:t>〇上記以外の出国については、国際旅客運送事業者が、国際観光旅客等から</w:t>
      </w:r>
      <w:r>
        <w:br/>
      </w:r>
      <w:r>
        <w:rPr>
          <w:rFonts w:hint="eastAsia"/>
        </w:rPr>
        <w:t xml:space="preserve">　国際観光旅客税を徴収して、翌々月末日までに国に納付</w:t>
      </w:r>
    </w:p>
    <w:p w:rsidR="00E75061" w:rsidRDefault="00E75061" w:rsidP="00E75061">
      <w:pPr>
        <w:pStyle w:val="a3"/>
        <w:numPr>
          <w:ilvl w:val="2"/>
          <w:numId w:val="1"/>
        </w:numPr>
        <w:ind w:leftChars="0"/>
      </w:pPr>
      <w:r>
        <w:rPr>
          <w:rFonts w:hint="eastAsia"/>
        </w:rPr>
        <w:t>適用時期</w:t>
      </w:r>
      <w:r>
        <w:br/>
      </w:r>
      <w:r>
        <w:rPr>
          <w:rFonts w:hint="eastAsia"/>
        </w:rPr>
        <w:t>2019年1月7日以後の出国に適用。</w:t>
      </w:r>
    </w:p>
    <w:p w:rsidR="00C05F32" w:rsidRDefault="00C05F32">
      <w:pPr>
        <w:widowControl/>
        <w:jc w:val="left"/>
      </w:pPr>
      <w:r>
        <w:br w:type="page"/>
      </w:r>
    </w:p>
    <w:p w:rsidR="00E75061" w:rsidRPr="00C05F32" w:rsidRDefault="00945906" w:rsidP="00E75061">
      <w:pPr>
        <w:pStyle w:val="a3"/>
        <w:numPr>
          <w:ilvl w:val="1"/>
          <w:numId w:val="1"/>
        </w:numPr>
        <w:ind w:leftChars="0"/>
        <w:rPr>
          <w:highlight w:val="yellow"/>
          <w:bdr w:val="single" w:sz="4" w:space="0" w:color="auto"/>
        </w:rPr>
      </w:pPr>
      <w:r w:rsidRPr="00C05F32">
        <w:rPr>
          <w:rFonts w:hint="eastAsia"/>
          <w:highlight w:val="yellow"/>
          <w:bdr w:val="single" w:sz="4" w:space="0" w:color="auto"/>
        </w:rPr>
        <w:lastRenderedPageBreak/>
        <w:t>輸出物品販売場制度の見直し</w:t>
      </w:r>
    </w:p>
    <w:p w:rsidR="00945906" w:rsidRDefault="00945906" w:rsidP="00945906">
      <w:pPr>
        <w:pStyle w:val="a3"/>
        <w:numPr>
          <w:ilvl w:val="2"/>
          <w:numId w:val="1"/>
        </w:numPr>
        <w:ind w:leftChars="0"/>
      </w:pPr>
      <w:r>
        <w:rPr>
          <w:rFonts w:hint="eastAsia"/>
        </w:rPr>
        <w:t>概要</w:t>
      </w:r>
      <w:r>
        <w:br/>
      </w:r>
      <w:r>
        <w:rPr>
          <w:rFonts w:hint="eastAsia"/>
        </w:rPr>
        <w:t>外国人旅行者の利便性向上の観点から、免税販売手続きの電子化を義務化し、ペーパーレス化を進める改正が行われた。なお、輸出物品販売場制度とは、輸出物品販売場を経営する事業者が、外国人旅行者などの非居住者に対して免税対象物品を一定の方法で販売する場合に消費税が免除される制度。</w:t>
      </w:r>
    </w:p>
    <w:p w:rsidR="00945906" w:rsidRDefault="00945906" w:rsidP="00275BE7">
      <w:pPr>
        <w:pStyle w:val="a3"/>
        <w:numPr>
          <w:ilvl w:val="2"/>
          <w:numId w:val="1"/>
        </w:numPr>
        <w:ind w:leftChars="0"/>
      </w:pPr>
      <w:r>
        <w:rPr>
          <w:rFonts w:hint="eastAsia"/>
        </w:rPr>
        <w:t>改正内容</w:t>
      </w:r>
      <w:r>
        <w:br/>
      </w:r>
      <w:r w:rsidR="00275BE7" w:rsidRPr="00275BE7">
        <w:drawing>
          <wp:inline distT="0" distB="0" distL="0" distR="0">
            <wp:extent cx="4009383" cy="588981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6954" cy="5915623"/>
                    </a:xfrm>
                    <a:prstGeom prst="rect">
                      <a:avLst/>
                    </a:prstGeom>
                    <a:noFill/>
                    <a:ln>
                      <a:noFill/>
                    </a:ln>
                  </pic:spPr>
                </pic:pic>
              </a:graphicData>
            </a:graphic>
          </wp:inline>
        </w:drawing>
      </w:r>
    </w:p>
    <w:p w:rsidR="00275BE7" w:rsidRDefault="00275BE7" w:rsidP="00275BE7">
      <w:pPr>
        <w:pStyle w:val="a3"/>
        <w:numPr>
          <w:ilvl w:val="2"/>
          <w:numId w:val="1"/>
        </w:numPr>
        <w:ind w:leftChars="0"/>
      </w:pPr>
      <w:r>
        <w:rPr>
          <w:rFonts w:hint="eastAsia"/>
        </w:rPr>
        <w:t>適用時期</w:t>
      </w:r>
      <w:r>
        <w:br/>
      </w:r>
      <w:r>
        <w:rPr>
          <w:rFonts w:hint="eastAsia"/>
        </w:rPr>
        <w:t>2020年4月1日以後に行われる課税資産の譲渡等について適用。</w:t>
      </w:r>
    </w:p>
    <w:p w:rsidR="00275BE7" w:rsidRPr="00C05F32" w:rsidRDefault="00275BE7" w:rsidP="00275BE7">
      <w:pPr>
        <w:pStyle w:val="a3"/>
        <w:numPr>
          <w:ilvl w:val="1"/>
          <w:numId w:val="1"/>
        </w:numPr>
        <w:ind w:leftChars="0"/>
        <w:rPr>
          <w:highlight w:val="yellow"/>
          <w:bdr w:val="single" w:sz="4" w:space="0" w:color="auto"/>
        </w:rPr>
      </w:pPr>
      <w:r w:rsidRPr="00C05F32">
        <w:rPr>
          <w:rFonts w:hint="eastAsia"/>
          <w:highlight w:val="yellow"/>
          <w:bdr w:val="single" w:sz="4" w:space="0" w:color="auto"/>
        </w:rPr>
        <w:lastRenderedPageBreak/>
        <w:t>たばこ税の見直し</w:t>
      </w:r>
    </w:p>
    <w:p w:rsidR="00275BE7" w:rsidRDefault="00275BE7" w:rsidP="00275BE7">
      <w:pPr>
        <w:pStyle w:val="a3"/>
        <w:numPr>
          <w:ilvl w:val="2"/>
          <w:numId w:val="1"/>
        </w:numPr>
        <w:ind w:leftChars="0"/>
      </w:pPr>
      <w:r>
        <w:rPr>
          <w:rFonts w:hint="eastAsia"/>
        </w:rPr>
        <w:t>概要</w:t>
      </w:r>
      <w:r>
        <w:br/>
      </w:r>
      <w:r>
        <w:rPr>
          <w:rFonts w:hint="eastAsia"/>
        </w:rPr>
        <w:t>高齢化の進展による社会保障関係費の増加等もあり厳しい財政事情にあることを踏まえ、財政物資としてのたばこの基本的性格に鑑み、たばこ税の税率が引き上げられる。</w:t>
      </w:r>
    </w:p>
    <w:p w:rsidR="007C1414" w:rsidRDefault="007C1414" w:rsidP="00275BE7">
      <w:pPr>
        <w:pStyle w:val="a3"/>
        <w:numPr>
          <w:ilvl w:val="2"/>
          <w:numId w:val="1"/>
        </w:numPr>
        <w:ind w:leftChars="0"/>
      </w:pPr>
      <w:r>
        <w:rPr>
          <w:rFonts w:hint="eastAsia"/>
        </w:rPr>
        <w:t>改正内容</w:t>
      </w:r>
      <w:r>
        <w:br/>
      </w:r>
      <w:r>
        <w:rPr>
          <w:rFonts w:hint="eastAsia"/>
        </w:rPr>
        <w:t>従来からある紙巻きたばこの税率が段階的に引き上げられ、1本当たり3円増税となる。</w:t>
      </w:r>
    </w:p>
    <w:p w:rsidR="007C1414" w:rsidRDefault="007C1414" w:rsidP="007C1414">
      <w:pPr>
        <w:pStyle w:val="a3"/>
        <w:numPr>
          <w:ilvl w:val="2"/>
          <w:numId w:val="1"/>
        </w:numPr>
        <w:ind w:leftChars="0"/>
      </w:pPr>
      <w:r>
        <w:rPr>
          <w:rFonts w:hint="eastAsia"/>
        </w:rPr>
        <w:t>適用時期</w:t>
      </w:r>
      <w:r>
        <w:br/>
      </w:r>
      <w:r>
        <w:rPr>
          <w:rFonts w:hint="eastAsia"/>
        </w:rPr>
        <w:t>紙巻きたばこは2018年10月1日より3段階に分けて税率が引き上げられる。また、加熱式たばこについては、同時期より5段階に分けて税率が引き上げられる。</w:t>
      </w:r>
    </w:p>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bookmarkStart w:id="0" w:name="_GoBack"/>
      <w:bookmarkEnd w:id="0"/>
    </w:p>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p w:rsidR="00977638" w:rsidRDefault="00977638" w:rsidP="00977638">
      <w:r>
        <w:rPr>
          <w:rFonts w:hint="eastAsia"/>
        </w:rPr>
        <w:t>［参考資料］</w:t>
      </w:r>
    </w:p>
    <w:p w:rsidR="00977638" w:rsidRPr="0085592A" w:rsidRDefault="00977638" w:rsidP="00977638">
      <w:pPr>
        <w:rPr>
          <w:rFonts w:hint="eastAsia"/>
        </w:rPr>
      </w:pPr>
      <w:r>
        <w:rPr>
          <w:rFonts w:hint="eastAsia"/>
        </w:rPr>
        <w:t>Journal of Financial Planning</w:t>
      </w:r>
      <w:r w:rsidR="00FC1E23">
        <w:rPr>
          <w:rFonts w:hint="eastAsia"/>
        </w:rPr>
        <w:t xml:space="preserve">　2018.06.01発行　Vol.20　№221</w:t>
      </w:r>
    </w:p>
    <w:sectPr w:rsidR="00977638" w:rsidRPr="0085592A" w:rsidSect="00977638">
      <w:footerReference w:type="default" r:id="rId2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75" w:rsidRDefault="00E80875" w:rsidP="007C1414">
      <w:r>
        <w:separator/>
      </w:r>
    </w:p>
  </w:endnote>
  <w:endnote w:type="continuationSeparator" w:id="0">
    <w:p w:rsidR="00E80875" w:rsidRDefault="00E80875"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988012"/>
      <w:docPartObj>
        <w:docPartGallery w:val="Page Numbers (Bottom of Page)"/>
        <w:docPartUnique/>
      </w:docPartObj>
    </w:sdtPr>
    <w:sdtContent>
      <w:p w:rsidR="007C1414" w:rsidRDefault="007C1414">
        <w:pPr>
          <w:pStyle w:val="a6"/>
          <w:jc w:val="right"/>
        </w:pPr>
        <w:r>
          <w:fldChar w:fldCharType="begin"/>
        </w:r>
        <w:r>
          <w:instrText>PAGE   \* MERGEFORMAT</w:instrText>
        </w:r>
        <w:r>
          <w:fldChar w:fldCharType="separate"/>
        </w:r>
        <w:r>
          <w:rPr>
            <w:lang w:val="ja-JP"/>
          </w:rPr>
          <w:t>2</w:t>
        </w:r>
        <w:r>
          <w:fldChar w:fldCharType="end"/>
        </w:r>
      </w:p>
    </w:sdtContent>
  </w:sdt>
  <w:p w:rsidR="007C1414" w:rsidRDefault="007C14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75" w:rsidRDefault="00E80875" w:rsidP="007C1414">
      <w:r>
        <w:separator/>
      </w:r>
    </w:p>
  </w:footnote>
  <w:footnote w:type="continuationSeparator" w:id="0">
    <w:p w:rsidR="00E80875" w:rsidRDefault="00E80875"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756CA"/>
    <w:multiLevelType w:val="hybridMultilevel"/>
    <w:tmpl w:val="49A6D9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4755"/>
    <w:rsid w:val="00006243"/>
    <w:rsid w:val="00006FC6"/>
    <w:rsid w:val="00011810"/>
    <w:rsid w:val="00011EC0"/>
    <w:rsid w:val="000155BE"/>
    <w:rsid w:val="00020ABD"/>
    <w:rsid w:val="000355A1"/>
    <w:rsid w:val="00036393"/>
    <w:rsid w:val="00041909"/>
    <w:rsid w:val="000449BD"/>
    <w:rsid w:val="00044C75"/>
    <w:rsid w:val="000462B0"/>
    <w:rsid w:val="0005296E"/>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5E7A"/>
    <w:rsid w:val="000B7B63"/>
    <w:rsid w:val="000B7F9B"/>
    <w:rsid w:val="000D3026"/>
    <w:rsid w:val="000D7EA6"/>
    <w:rsid w:val="000E0E29"/>
    <w:rsid w:val="000E0FB8"/>
    <w:rsid w:val="000F0607"/>
    <w:rsid w:val="000F29CF"/>
    <w:rsid w:val="000F6603"/>
    <w:rsid w:val="00102109"/>
    <w:rsid w:val="00103051"/>
    <w:rsid w:val="0010628E"/>
    <w:rsid w:val="00117D99"/>
    <w:rsid w:val="00124A77"/>
    <w:rsid w:val="00124C76"/>
    <w:rsid w:val="00126D77"/>
    <w:rsid w:val="00127EF9"/>
    <w:rsid w:val="00130083"/>
    <w:rsid w:val="00131891"/>
    <w:rsid w:val="001361BA"/>
    <w:rsid w:val="001375E7"/>
    <w:rsid w:val="00137A62"/>
    <w:rsid w:val="0014659E"/>
    <w:rsid w:val="001570A6"/>
    <w:rsid w:val="00166370"/>
    <w:rsid w:val="00176FC1"/>
    <w:rsid w:val="00183570"/>
    <w:rsid w:val="00184D8F"/>
    <w:rsid w:val="00185033"/>
    <w:rsid w:val="001852A3"/>
    <w:rsid w:val="00196A33"/>
    <w:rsid w:val="001A613C"/>
    <w:rsid w:val="001B39B7"/>
    <w:rsid w:val="001B481F"/>
    <w:rsid w:val="001B4F25"/>
    <w:rsid w:val="001B760F"/>
    <w:rsid w:val="001C2C42"/>
    <w:rsid w:val="001E4D80"/>
    <w:rsid w:val="001F2C15"/>
    <w:rsid w:val="001F3C4B"/>
    <w:rsid w:val="002013C7"/>
    <w:rsid w:val="00212290"/>
    <w:rsid w:val="00212665"/>
    <w:rsid w:val="00220008"/>
    <w:rsid w:val="00232BC1"/>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331F"/>
    <w:rsid w:val="00340E52"/>
    <w:rsid w:val="00345ACC"/>
    <w:rsid w:val="00352779"/>
    <w:rsid w:val="00356EA0"/>
    <w:rsid w:val="003627F2"/>
    <w:rsid w:val="00363494"/>
    <w:rsid w:val="00364E32"/>
    <w:rsid w:val="003651C6"/>
    <w:rsid w:val="00365229"/>
    <w:rsid w:val="003668CC"/>
    <w:rsid w:val="003679EE"/>
    <w:rsid w:val="00371021"/>
    <w:rsid w:val="00377670"/>
    <w:rsid w:val="00391129"/>
    <w:rsid w:val="003950A4"/>
    <w:rsid w:val="00396C1C"/>
    <w:rsid w:val="003A6974"/>
    <w:rsid w:val="003B7675"/>
    <w:rsid w:val="003B7D4E"/>
    <w:rsid w:val="003C3AF5"/>
    <w:rsid w:val="003C5EBB"/>
    <w:rsid w:val="003D150E"/>
    <w:rsid w:val="003D2070"/>
    <w:rsid w:val="003D5798"/>
    <w:rsid w:val="003E157B"/>
    <w:rsid w:val="003E58E0"/>
    <w:rsid w:val="003F18F1"/>
    <w:rsid w:val="00400E0E"/>
    <w:rsid w:val="0040685E"/>
    <w:rsid w:val="004076A7"/>
    <w:rsid w:val="0041689B"/>
    <w:rsid w:val="00417558"/>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927E7"/>
    <w:rsid w:val="004929B6"/>
    <w:rsid w:val="00493050"/>
    <w:rsid w:val="004936BD"/>
    <w:rsid w:val="00495E1B"/>
    <w:rsid w:val="004A7308"/>
    <w:rsid w:val="004C4EE0"/>
    <w:rsid w:val="004C52E8"/>
    <w:rsid w:val="004C5FA5"/>
    <w:rsid w:val="004C6E62"/>
    <w:rsid w:val="004C750E"/>
    <w:rsid w:val="004D03D7"/>
    <w:rsid w:val="004D2971"/>
    <w:rsid w:val="004D526F"/>
    <w:rsid w:val="004E680D"/>
    <w:rsid w:val="004E743F"/>
    <w:rsid w:val="004E781E"/>
    <w:rsid w:val="004F12CF"/>
    <w:rsid w:val="004F34DF"/>
    <w:rsid w:val="004F5B6B"/>
    <w:rsid w:val="004F7BEA"/>
    <w:rsid w:val="0051017F"/>
    <w:rsid w:val="00511E68"/>
    <w:rsid w:val="00516BF8"/>
    <w:rsid w:val="00525CD5"/>
    <w:rsid w:val="00537400"/>
    <w:rsid w:val="00540663"/>
    <w:rsid w:val="00540EAB"/>
    <w:rsid w:val="00546D9A"/>
    <w:rsid w:val="005519CD"/>
    <w:rsid w:val="00567FE5"/>
    <w:rsid w:val="005705FE"/>
    <w:rsid w:val="00576A2A"/>
    <w:rsid w:val="005B5949"/>
    <w:rsid w:val="005B67E1"/>
    <w:rsid w:val="005B6991"/>
    <w:rsid w:val="005C60DF"/>
    <w:rsid w:val="005D3FCC"/>
    <w:rsid w:val="005D4763"/>
    <w:rsid w:val="005E5ACD"/>
    <w:rsid w:val="005F1BB0"/>
    <w:rsid w:val="005F31C5"/>
    <w:rsid w:val="00600716"/>
    <w:rsid w:val="00601DD9"/>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73F4"/>
    <w:rsid w:val="006A2AFD"/>
    <w:rsid w:val="006A6A14"/>
    <w:rsid w:val="006A6C13"/>
    <w:rsid w:val="006A6DE6"/>
    <w:rsid w:val="006A7861"/>
    <w:rsid w:val="006B1A1B"/>
    <w:rsid w:val="006C4D5A"/>
    <w:rsid w:val="006C7B8A"/>
    <w:rsid w:val="006E0BDF"/>
    <w:rsid w:val="006E2297"/>
    <w:rsid w:val="006E3F5A"/>
    <w:rsid w:val="006E69E4"/>
    <w:rsid w:val="007062E7"/>
    <w:rsid w:val="00706D9D"/>
    <w:rsid w:val="007115D3"/>
    <w:rsid w:val="00720BDD"/>
    <w:rsid w:val="007210D8"/>
    <w:rsid w:val="00724FE4"/>
    <w:rsid w:val="00725426"/>
    <w:rsid w:val="00726417"/>
    <w:rsid w:val="007318D1"/>
    <w:rsid w:val="00732E16"/>
    <w:rsid w:val="00750DF6"/>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B3525"/>
    <w:rsid w:val="007B79CD"/>
    <w:rsid w:val="007C1414"/>
    <w:rsid w:val="007C3F55"/>
    <w:rsid w:val="007D13ED"/>
    <w:rsid w:val="007D243E"/>
    <w:rsid w:val="007D2AA3"/>
    <w:rsid w:val="007D57C6"/>
    <w:rsid w:val="007D7AA0"/>
    <w:rsid w:val="007E184C"/>
    <w:rsid w:val="007E4AAE"/>
    <w:rsid w:val="007F0817"/>
    <w:rsid w:val="007F1D64"/>
    <w:rsid w:val="008042AD"/>
    <w:rsid w:val="008047E5"/>
    <w:rsid w:val="00806CD5"/>
    <w:rsid w:val="008130D9"/>
    <w:rsid w:val="00813FB6"/>
    <w:rsid w:val="00820BAB"/>
    <w:rsid w:val="00833F3A"/>
    <w:rsid w:val="00844A12"/>
    <w:rsid w:val="00845E7A"/>
    <w:rsid w:val="00854727"/>
    <w:rsid w:val="0085592A"/>
    <w:rsid w:val="008623E5"/>
    <w:rsid w:val="00873892"/>
    <w:rsid w:val="0087653B"/>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14198"/>
    <w:rsid w:val="00914DCA"/>
    <w:rsid w:val="009255BB"/>
    <w:rsid w:val="00944585"/>
    <w:rsid w:val="00945906"/>
    <w:rsid w:val="0095067A"/>
    <w:rsid w:val="00953D7D"/>
    <w:rsid w:val="00957938"/>
    <w:rsid w:val="0096476C"/>
    <w:rsid w:val="0097062A"/>
    <w:rsid w:val="00972B40"/>
    <w:rsid w:val="00977638"/>
    <w:rsid w:val="00987F8F"/>
    <w:rsid w:val="00996105"/>
    <w:rsid w:val="00997A5C"/>
    <w:rsid w:val="009A4946"/>
    <w:rsid w:val="009A4FA2"/>
    <w:rsid w:val="009A7E97"/>
    <w:rsid w:val="009D7816"/>
    <w:rsid w:val="009E49E0"/>
    <w:rsid w:val="00A12791"/>
    <w:rsid w:val="00A16630"/>
    <w:rsid w:val="00A32566"/>
    <w:rsid w:val="00A326A0"/>
    <w:rsid w:val="00A35A67"/>
    <w:rsid w:val="00A40058"/>
    <w:rsid w:val="00A546C4"/>
    <w:rsid w:val="00A6018F"/>
    <w:rsid w:val="00A629AD"/>
    <w:rsid w:val="00A65044"/>
    <w:rsid w:val="00A7358E"/>
    <w:rsid w:val="00A80522"/>
    <w:rsid w:val="00A83492"/>
    <w:rsid w:val="00A8441B"/>
    <w:rsid w:val="00A91C9F"/>
    <w:rsid w:val="00AA476C"/>
    <w:rsid w:val="00AA57ED"/>
    <w:rsid w:val="00AB7BCD"/>
    <w:rsid w:val="00AC0D05"/>
    <w:rsid w:val="00AD661B"/>
    <w:rsid w:val="00AD6633"/>
    <w:rsid w:val="00AE0128"/>
    <w:rsid w:val="00AE3334"/>
    <w:rsid w:val="00AE5EDC"/>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6467"/>
    <w:rsid w:val="00B624FF"/>
    <w:rsid w:val="00B6293C"/>
    <w:rsid w:val="00B750EE"/>
    <w:rsid w:val="00B75E14"/>
    <w:rsid w:val="00B75EEE"/>
    <w:rsid w:val="00B7770B"/>
    <w:rsid w:val="00B77A45"/>
    <w:rsid w:val="00B8089D"/>
    <w:rsid w:val="00B81C4B"/>
    <w:rsid w:val="00B8541A"/>
    <w:rsid w:val="00B876C5"/>
    <w:rsid w:val="00B87C40"/>
    <w:rsid w:val="00B95762"/>
    <w:rsid w:val="00B96CA7"/>
    <w:rsid w:val="00BB19DC"/>
    <w:rsid w:val="00BB3277"/>
    <w:rsid w:val="00BC2577"/>
    <w:rsid w:val="00BC5495"/>
    <w:rsid w:val="00BD0309"/>
    <w:rsid w:val="00BD4812"/>
    <w:rsid w:val="00BD4CCE"/>
    <w:rsid w:val="00BD75DA"/>
    <w:rsid w:val="00BE0CD3"/>
    <w:rsid w:val="00BE56DD"/>
    <w:rsid w:val="00BF28D6"/>
    <w:rsid w:val="00BF2F20"/>
    <w:rsid w:val="00C01D67"/>
    <w:rsid w:val="00C02D9E"/>
    <w:rsid w:val="00C05A20"/>
    <w:rsid w:val="00C05CD4"/>
    <w:rsid w:val="00C05F32"/>
    <w:rsid w:val="00C06E6F"/>
    <w:rsid w:val="00C1031C"/>
    <w:rsid w:val="00C10C48"/>
    <w:rsid w:val="00C16736"/>
    <w:rsid w:val="00C44D6A"/>
    <w:rsid w:val="00C478B1"/>
    <w:rsid w:val="00C57371"/>
    <w:rsid w:val="00C728DA"/>
    <w:rsid w:val="00C740B9"/>
    <w:rsid w:val="00C741EF"/>
    <w:rsid w:val="00C76EB7"/>
    <w:rsid w:val="00C821A9"/>
    <w:rsid w:val="00C87E22"/>
    <w:rsid w:val="00C937A3"/>
    <w:rsid w:val="00C953A5"/>
    <w:rsid w:val="00CA1DEA"/>
    <w:rsid w:val="00CA4D33"/>
    <w:rsid w:val="00CA7FD7"/>
    <w:rsid w:val="00CB0368"/>
    <w:rsid w:val="00CB6392"/>
    <w:rsid w:val="00CC053A"/>
    <w:rsid w:val="00CC6E7F"/>
    <w:rsid w:val="00CD149F"/>
    <w:rsid w:val="00CD37F8"/>
    <w:rsid w:val="00CD68C2"/>
    <w:rsid w:val="00CD6BEA"/>
    <w:rsid w:val="00CE2E36"/>
    <w:rsid w:val="00CE5682"/>
    <w:rsid w:val="00CF3515"/>
    <w:rsid w:val="00CF3CE6"/>
    <w:rsid w:val="00D02A8C"/>
    <w:rsid w:val="00D03077"/>
    <w:rsid w:val="00D04EA4"/>
    <w:rsid w:val="00D11CC2"/>
    <w:rsid w:val="00D13DCA"/>
    <w:rsid w:val="00D14B64"/>
    <w:rsid w:val="00D14F2D"/>
    <w:rsid w:val="00D3005B"/>
    <w:rsid w:val="00D348FB"/>
    <w:rsid w:val="00D365C9"/>
    <w:rsid w:val="00D40396"/>
    <w:rsid w:val="00D455B2"/>
    <w:rsid w:val="00D67F45"/>
    <w:rsid w:val="00D7052C"/>
    <w:rsid w:val="00D70A4F"/>
    <w:rsid w:val="00D83754"/>
    <w:rsid w:val="00D83EAF"/>
    <w:rsid w:val="00D874B9"/>
    <w:rsid w:val="00D97183"/>
    <w:rsid w:val="00DC41B5"/>
    <w:rsid w:val="00DD5F35"/>
    <w:rsid w:val="00DE16E3"/>
    <w:rsid w:val="00DE5A81"/>
    <w:rsid w:val="00DF293F"/>
    <w:rsid w:val="00DF443E"/>
    <w:rsid w:val="00DF64C4"/>
    <w:rsid w:val="00DF66C3"/>
    <w:rsid w:val="00E07020"/>
    <w:rsid w:val="00E17075"/>
    <w:rsid w:val="00E20761"/>
    <w:rsid w:val="00E20D84"/>
    <w:rsid w:val="00E31443"/>
    <w:rsid w:val="00E36A32"/>
    <w:rsid w:val="00E4466A"/>
    <w:rsid w:val="00E50416"/>
    <w:rsid w:val="00E510DC"/>
    <w:rsid w:val="00E53608"/>
    <w:rsid w:val="00E67717"/>
    <w:rsid w:val="00E67FB4"/>
    <w:rsid w:val="00E75061"/>
    <w:rsid w:val="00E75643"/>
    <w:rsid w:val="00E80875"/>
    <w:rsid w:val="00E831CC"/>
    <w:rsid w:val="00E91065"/>
    <w:rsid w:val="00EA6E77"/>
    <w:rsid w:val="00EB27DA"/>
    <w:rsid w:val="00EB3C12"/>
    <w:rsid w:val="00EC76F1"/>
    <w:rsid w:val="00EC794A"/>
    <w:rsid w:val="00ED3E24"/>
    <w:rsid w:val="00EE4505"/>
    <w:rsid w:val="00EF4F2C"/>
    <w:rsid w:val="00EF7E89"/>
    <w:rsid w:val="00F11B6F"/>
    <w:rsid w:val="00F16450"/>
    <w:rsid w:val="00F200B2"/>
    <w:rsid w:val="00F21ACC"/>
    <w:rsid w:val="00F22032"/>
    <w:rsid w:val="00F31B6A"/>
    <w:rsid w:val="00F34BC9"/>
    <w:rsid w:val="00F34C0F"/>
    <w:rsid w:val="00F4091F"/>
    <w:rsid w:val="00F41596"/>
    <w:rsid w:val="00F41A88"/>
    <w:rsid w:val="00F41CA5"/>
    <w:rsid w:val="00F42F16"/>
    <w:rsid w:val="00F44D09"/>
    <w:rsid w:val="00F475D6"/>
    <w:rsid w:val="00F47A6C"/>
    <w:rsid w:val="00F52EF9"/>
    <w:rsid w:val="00F604E8"/>
    <w:rsid w:val="00F709BE"/>
    <w:rsid w:val="00F721D0"/>
    <w:rsid w:val="00F75745"/>
    <w:rsid w:val="00F76B16"/>
    <w:rsid w:val="00F90E23"/>
    <w:rsid w:val="00F963B3"/>
    <w:rsid w:val="00FA4E1B"/>
    <w:rsid w:val="00FA5BA4"/>
    <w:rsid w:val="00FB0969"/>
    <w:rsid w:val="00FB5A4A"/>
    <w:rsid w:val="00FC1E23"/>
    <w:rsid w:val="00FD0D41"/>
    <w:rsid w:val="00FD33A9"/>
    <w:rsid w:val="00FE2DB9"/>
    <w:rsid w:val="00FE6B43"/>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72DDC"/>
  <w15:chartTrackingRefBased/>
  <w15:docId w15:val="{83A9133F-C9F9-4C79-8D7A-E21C99B5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0BD1-2539-4B06-BCFE-B9CC2508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864</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倉重税務会計事務所</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平成３０年度税制改正</dc:title>
  <dc:subject>＜主な改正項目＞</dc:subject>
  <dc:creator>KURA003</dc:creator>
  <cp:keywords/>
  <dc:description/>
  <cp:lastModifiedBy>KURA003</cp:lastModifiedBy>
  <cp:revision>12</cp:revision>
  <cp:lastPrinted>2018-07-26T08:23:00Z</cp:lastPrinted>
  <dcterms:created xsi:type="dcterms:W3CDTF">2018-06-25T08:04:00Z</dcterms:created>
  <dcterms:modified xsi:type="dcterms:W3CDTF">2018-07-26T08:25:00Z</dcterms:modified>
  <cp:category>三浦　伸子</cp:category>
</cp:coreProperties>
</file>