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F3" w:rsidRPr="00242714" w:rsidRDefault="00242714" w:rsidP="00242714">
      <w:pPr>
        <w:jc w:val="center"/>
        <w:rPr>
          <w:b/>
          <w:sz w:val="28"/>
          <w:szCs w:val="28"/>
          <w:u w:val="single"/>
        </w:rPr>
      </w:pPr>
      <w:r w:rsidRPr="00242714">
        <w:rPr>
          <w:rFonts w:hint="eastAsia"/>
          <w:b/>
          <w:sz w:val="28"/>
          <w:szCs w:val="28"/>
          <w:u w:val="single"/>
        </w:rPr>
        <w:t>無償減資と無償増資</w:t>
      </w:r>
    </w:p>
    <w:p w:rsidR="00242714" w:rsidRDefault="00242714" w:rsidP="00242714">
      <w:pPr>
        <w:jc w:val="right"/>
        <w:rPr>
          <w:szCs w:val="21"/>
        </w:rPr>
      </w:pPr>
      <w:r>
        <w:rPr>
          <w:rFonts w:hint="eastAsia"/>
          <w:szCs w:val="21"/>
        </w:rPr>
        <w:t>作成日：平成28年12月14日</w:t>
      </w:r>
    </w:p>
    <w:p w:rsidR="00242714" w:rsidRDefault="00242714" w:rsidP="00242714">
      <w:pPr>
        <w:wordWrap w:val="0"/>
        <w:jc w:val="right"/>
        <w:rPr>
          <w:szCs w:val="21"/>
        </w:rPr>
      </w:pPr>
      <w:r>
        <w:rPr>
          <w:rFonts w:hint="eastAsia"/>
          <w:szCs w:val="21"/>
        </w:rPr>
        <w:t>作成者：倉重会計　菅野</w:t>
      </w:r>
    </w:p>
    <w:p w:rsidR="00242714" w:rsidRDefault="00242714" w:rsidP="00242714">
      <w:pPr>
        <w:jc w:val="left"/>
        <w:rPr>
          <w:szCs w:val="21"/>
        </w:rPr>
      </w:pPr>
      <w:r>
        <w:rPr>
          <w:rFonts w:hint="eastAsia"/>
          <w:szCs w:val="21"/>
        </w:rPr>
        <w:t>1　株主資本計数の変動パターンとその手順</w:t>
      </w:r>
    </w:p>
    <w:tbl>
      <w:tblPr>
        <w:tblStyle w:val="a3"/>
        <w:tblW w:w="9776" w:type="dxa"/>
        <w:tblLook w:val="04A0" w:firstRow="1" w:lastRow="0" w:firstColumn="1" w:lastColumn="0" w:noHBand="0" w:noVBand="1"/>
      </w:tblPr>
      <w:tblGrid>
        <w:gridCol w:w="1413"/>
        <w:gridCol w:w="2835"/>
        <w:gridCol w:w="2551"/>
        <w:gridCol w:w="1276"/>
        <w:gridCol w:w="1701"/>
      </w:tblGrid>
      <w:tr w:rsidR="00EA5B3D" w:rsidTr="007B4EC4">
        <w:tc>
          <w:tcPr>
            <w:tcW w:w="1413" w:type="dxa"/>
          </w:tcPr>
          <w:p w:rsidR="00EA5B3D" w:rsidRDefault="00EA5B3D" w:rsidP="00242714">
            <w:pPr>
              <w:jc w:val="left"/>
              <w:rPr>
                <w:rFonts w:hint="eastAsia"/>
                <w:szCs w:val="21"/>
              </w:rPr>
            </w:pPr>
            <w:r>
              <w:rPr>
                <w:rFonts w:hint="eastAsia"/>
                <w:szCs w:val="21"/>
              </w:rPr>
              <w:t>減少科目</w:t>
            </w:r>
          </w:p>
        </w:tc>
        <w:tc>
          <w:tcPr>
            <w:tcW w:w="2835" w:type="dxa"/>
          </w:tcPr>
          <w:p w:rsidR="00EA5B3D" w:rsidRDefault="00EA5B3D" w:rsidP="00242714">
            <w:pPr>
              <w:jc w:val="left"/>
              <w:rPr>
                <w:szCs w:val="21"/>
              </w:rPr>
            </w:pPr>
            <w:r>
              <w:rPr>
                <w:rFonts w:hint="eastAsia"/>
                <w:szCs w:val="21"/>
              </w:rPr>
              <w:t>増加科目</w:t>
            </w:r>
          </w:p>
        </w:tc>
        <w:tc>
          <w:tcPr>
            <w:tcW w:w="2551" w:type="dxa"/>
          </w:tcPr>
          <w:p w:rsidR="00EA5B3D" w:rsidRDefault="00EA5B3D" w:rsidP="00242714">
            <w:pPr>
              <w:jc w:val="left"/>
              <w:rPr>
                <w:rFonts w:hint="eastAsia"/>
                <w:szCs w:val="21"/>
              </w:rPr>
            </w:pPr>
            <w:r>
              <w:rPr>
                <w:rFonts w:hint="eastAsia"/>
                <w:szCs w:val="21"/>
              </w:rPr>
              <w:t>原則的な手続</w:t>
            </w:r>
          </w:p>
        </w:tc>
        <w:tc>
          <w:tcPr>
            <w:tcW w:w="1276" w:type="dxa"/>
          </w:tcPr>
          <w:p w:rsidR="00EA5B3D" w:rsidRDefault="00EA5B3D" w:rsidP="00242714">
            <w:pPr>
              <w:jc w:val="left"/>
              <w:rPr>
                <w:rFonts w:hint="eastAsia"/>
                <w:szCs w:val="21"/>
              </w:rPr>
            </w:pPr>
            <w:r>
              <w:rPr>
                <w:rFonts w:hint="eastAsia"/>
                <w:szCs w:val="21"/>
              </w:rPr>
              <w:t>分配特則規定適用会社</w:t>
            </w:r>
          </w:p>
        </w:tc>
        <w:tc>
          <w:tcPr>
            <w:tcW w:w="1701" w:type="dxa"/>
          </w:tcPr>
          <w:p w:rsidR="00EA5B3D" w:rsidRDefault="00EA5B3D" w:rsidP="00242714">
            <w:pPr>
              <w:jc w:val="left"/>
              <w:rPr>
                <w:szCs w:val="21"/>
              </w:rPr>
            </w:pPr>
            <w:r>
              <w:rPr>
                <w:rFonts w:hint="eastAsia"/>
                <w:szCs w:val="21"/>
              </w:rPr>
              <w:t>債権者保護手続</w:t>
            </w:r>
          </w:p>
        </w:tc>
      </w:tr>
      <w:tr w:rsidR="007B4EC4" w:rsidTr="0007449C">
        <w:tc>
          <w:tcPr>
            <w:tcW w:w="1413" w:type="dxa"/>
            <w:vMerge w:val="restart"/>
            <w:vAlign w:val="center"/>
          </w:tcPr>
          <w:p w:rsidR="007B4EC4" w:rsidRDefault="007B4EC4" w:rsidP="007B4EC4">
            <w:pPr>
              <w:jc w:val="distribute"/>
              <w:rPr>
                <w:rFonts w:hint="eastAsia"/>
                <w:szCs w:val="21"/>
              </w:rPr>
            </w:pPr>
          </w:p>
          <w:p w:rsidR="007B4EC4" w:rsidRDefault="007B4EC4" w:rsidP="007B4EC4">
            <w:pPr>
              <w:jc w:val="center"/>
              <w:rPr>
                <w:szCs w:val="21"/>
              </w:rPr>
            </w:pPr>
            <w:r>
              <w:rPr>
                <w:rFonts w:hint="eastAsia"/>
                <w:szCs w:val="21"/>
              </w:rPr>
              <w:t>資本金</w:t>
            </w:r>
          </w:p>
          <w:p w:rsidR="007B4EC4" w:rsidRDefault="007B4EC4" w:rsidP="007B4EC4">
            <w:pPr>
              <w:jc w:val="center"/>
              <w:rPr>
                <w:rFonts w:hint="eastAsia"/>
                <w:szCs w:val="21"/>
              </w:rPr>
            </w:pPr>
          </w:p>
        </w:tc>
        <w:tc>
          <w:tcPr>
            <w:tcW w:w="2835" w:type="dxa"/>
          </w:tcPr>
          <w:p w:rsidR="007B4EC4" w:rsidRDefault="007B4EC4" w:rsidP="00242714">
            <w:pPr>
              <w:jc w:val="left"/>
              <w:rPr>
                <w:szCs w:val="21"/>
              </w:rPr>
            </w:pPr>
            <w:r>
              <w:rPr>
                <w:rFonts w:hint="eastAsia"/>
                <w:szCs w:val="21"/>
              </w:rPr>
              <w:t>①　資本準備金</w:t>
            </w:r>
          </w:p>
        </w:tc>
        <w:tc>
          <w:tcPr>
            <w:tcW w:w="2551" w:type="dxa"/>
            <w:vAlign w:val="center"/>
          </w:tcPr>
          <w:p w:rsidR="007B4EC4" w:rsidRDefault="007B4EC4" w:rsidP="00242714">
            <w:pPr>
              <w:jc w:val="left"/>
              <w:rPr>
                <w:szCs w:val="21"/>
              </w:rPr>
            </w:pPr>
            <w:r>
              <w:rPr>
                <w:rFonts w:hint="eastAsia"/>
                <w:szCs w:val="21"/>
              </w:rPr>
              <w:t>株主総会・特別決議</w:t>
            </w:r>
          </w:p>
        </w:tc>
        <w:tc>
          <w:tcPr>
            <w:tcW w:w="1276" w:type="dxa"/>
            <w:vAlign w:val="center"/>
          </w:tcPr>
          <w:p w:rsidR="007B4EC4" w:rsidRDefault="007B4EC4" w:rsidP="0007449C">
            <w:pPr>
              <w:jc w:val="center"/>
              <w:rPr>
                <w:szCs w:val="21"/>
              </w:rPr>
            </w:pPr>
          </w:p>
        </w:tc>
        <w:tc>
          <w:tcPr>
            <w:tcW w:w="1701" w:type="dxa"/>
            <w:vAlign w:val="center"/>
          </w:tcPr>
          <w:p w:rsidR="007B4EC4" w:rsidRDefault="007B4EC4" w:rsidP="0007449C">
            <w:pPr>
              <w:jc w:val="center"/>
              <w:rPr>
                <w:szCs w:val="21"/>
              </w:rPr>
            </w:pPr>
            <w:r>
              <w:rPr>
                <w:rFonts w:hint="eastAsia"/>
                <w:szCs w:val="21"/>
              </w:rPr>
              <w:t>必要</w:t>
            </w:r>
          </w:p>
        </w:tc>
      </w:tr>
      <w:tr w:rsidR="003F1569"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szCs w:val="21"/>
              </w:rPr>
            </w:pPr>
            <w:r>
              <w:rPr>
                <w:rFonts w:hint="eastAsia"/>
                <w:szCs w:val="21"/>
              </w:rPr>
              <w:t>②　その他資本剰余金</w:t>
            </w:r>
          </w:p>
          <w:p w:rsidR="003F1569" w:rsidRDefault="003F1569" w:rsidP="003F1569">
            <w:pPr>
              <w:jc w:val="left"/>
              <w:rPr>
                <w:rFonts w:hint="eastAsia"/>
                <w:szCs w:val="21"/>
              </w:rPr>
            </w:pPr>
            <w:r>
              <w:rPr>
                <w:rFonts w:hint="eastAsia"/>
                <w:szCs w:val="21"/>
              </w:rPr>
              <w:t xml:space="preserve">　　(資本金減少差益)</w:t>
            </w:r>
          </w:p>
        </w:tc>
        <w:tc>
          <w:tcPr>
            <w:tcW w:w="2551" w:type="dxa"/>
            <w:vAlign w:val="center"/>
          </w:tcPr>
          <w:p w:rsidR="003F1569" w:rsidRDefault="003F1569" w:rsidP="003F1569">
            <w:pPr>
              <w:jc w:val="left"/>
              <w:rPr>
                <w:szCs w:val="21"/>
              </w:rPr>
            </w:pPr>
            <w:r>
              <w:rPr>
                <w:rFonts w:hint="eastAsia"/>
                <w:szCs w:val="21"/>
              </w:rPr>
              <w:t>株主総会・特別決議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szCs w:val="21"/>
              </w:rPr>
            </w:pPr>
            <w:r>
              <w:rPr>
                <w:rFonts w:hint="eastAsia"/>
                <w:szCs w:val="21"/>
              </w:rPr>
              <w:t>③　欠損てん補</w:t>
            </w:r>
          </w:p>
        </w:tc>
        <w:tc>
          <w:tcPr>
            <w:tcW w:w="2551" w:type="dxa"/>
            <w:vAlign w:val="center"/>
          </w:tcPr>
          <w:p w:rsidR="003F1569" w:rsidRDefault="003F1569" w:rsidP="003F1569">
            <w:pPr>
              <w:jc w:val="left"/>
              <w:rPr>
                <w:szCs w:val="21"/>
              </w:rPr>
            </w:pPr>
            <w:r>
              <w:rPr>
                <w:rFonts w:hint="eastAsia"/>
                <w:szCs w:val="21"/>
              </w:rPr>
              <w:t>株主総会・特別決議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ind w:left="420" w:hangingChars="200" w:hanging="420"/>
              <w:jc w:val="left"/>
              <w:rPr>
                <w:rFonts w:hint="eastAsia"/>
                <w:szCs w:val="21"/>
              </w:rPr>
            </w:pPr>
            <w:r>
              <w:rPr>
                <w:rFonts w:hint="eastAsia"/>
                <w:szCs w:val="21"/>
              </w:rPr>
              <w:t>④　定時株主総会における欠損てん補で分配可能な剰余金が発生しない場合</w:t>
            </w:r>
          </w:p>
        </w:tc>
        <w:tc>
          <w:tcPr>
            <w:tcW w:w="2551" w:type="dxa"/>
            <w:vAlign w:val="center"/>
          </w:tcPr>
          <w:p w:rsidR="003F1569" w:rsidRDefault="003F1569" w:rsidP="003F1569">
            <w:pPr>
              <w:jc w:val="left"/>
              <w:rPr>
                <w:rFonts w:hint="eastAsia"/>
                <w:szCs w:val="21"/>
              </w:rPr>
            </w:pPr>
            <w:r>
              <w:rPr>
                <w:rFonts w:hint="eastAsia"/>
                <w:szCs w:val="21"/>
              </w:rPr>
              <w:t>定時株主総会・普</w:t>
            </w:r>
            <w:bookmarkStart w:id="0" w:name="_GoBack"/>
            <w:bookmarkEnd w:id="0"/>
            <w:r>
              <w:rPr>
                <w:rFonts w:hint="eastAsia"/>
                <w:szCs w:val="21"/>
              </w:rPr>
              <w:t>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Tr="0007449C">
        <w:tc>
          <w:tcPr>
            <w:tcW w:w="1413" w:type="dxa"/>
            <w:vMerge w:val="restart"/>
            <w:vAlign w:val="center"/>
          </w:tcPr>
          <w:p w:rsidR="003F1569" w:rsidRDefault="003F1569" w:rsidP="003F1569">
            <w:pPr>
              <w:jc w:val="center"/>
              <w:rPr>
                <w:szCs w:val="21"/>
              </w:rPr>
            </w:pPr>
            <w:r>
              <w:rPr>
                <w:rFonts w:hint="eastAsia"/>
                <w:szCs w:val="21"/>
              </w:rPr>
              <w:t>資本準備金</w:t>
            </w:r>
          </w:p>
        </w:tc>
        <w:tc>
          <w:tcPr>
            <w:tcW w:w="2835" w:type="dxa"/>
          </w:tcPr>
          <w:p w:rsidR="003F1569" w:rsidRDefault="003F1569" w:rsidP="003F1569">
            <w:pPr>
              <w:jc w:val="left"/>
              <w:rPr>
                <w:szCs w:val="21"/>
              </w:rPr>
            </w:pPr>
            <w:r>
              <w:rPr>
                <w:rFonts w:hint="eastAsia"/>
                <w:szCs w:val="21"/>
              </w:rPr>
              <w:t>①　資本金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rFonts w:hint="eastAsia"/>
                <w:szCs w:val="21"/>
              </w:rPr>
            </w:pPr>
            <w:r>
              <w:rPr>
                <w:rFonts w:hint="eastAsia"/>
                <w:szCs w:val="21"/>
              </w:rPr>
              <w:t>不要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szCs w:val="21"/>
              </w:rPr>
            </w:pPr>
            <w:r>
              <w:rPr>
                <w:rFonts w:hint="eastAsia"/>
                <w:szCs w:val="21"/>
              </w:rPr>
              <w:t>②　その他資本剰余金</w:t>
            </w:r>
          </w:p>
          <w:p w:rsidR="003F1569" w:rsidRDefault="003F1569" w:rsidP="003F1569">
            <w:pPr>
              <w:jc w:val="left"/>
              <w:rPr>
                <w:rFonts w:hint="eastAsia"/>
                <w:szCs w:val="21"/>
              </w:rPr>
            </w:pPr>
            <w:r>
              <w:rPr>
                <w:rFonts w:hint="eastAsia"/>
                <w:szCs w:val="21"/>
              </w:rPr>
              <w:t xml:space="preserve">　　(資本準備金減少差益)</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rFonts w:hint="eastAsia"/>
                <w:szCs w:val="21"/>
              </w:rPr>
            </w:pPr>
            <w:r>
              <w:rPr>
                <w:rFonts w:hint="eastAsia"/>
                <w:szCs w:val="21"/>
              </w:rPr>
              <w:t>③　欠損てん補</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ind w:left="420" w:hangingChars="200" w:hanging="420"/>
              <w:jc w:val="left"/>
              <w:rPr>
                <w:rFonts w:hint="eastAsia"/>
                <w:szCs w:val="21"/>
              </w:rPr>
            </w:pPr>
            <w:r>
              <w:rPr>
                <w:rFonts w:hint="eastAsia"/>
                <w:szCs w:val="21"/>
              </w:rPr>
              <w:t>④　定時株主総会における欠損てん補で分配可能な剰余金が発生しない場合</w:t>
            </w:r>
          </w:p>
        </w:tc>
        <w:tc>
          <w:tcPr>
            <w:tcW w:w="2551" w:type="dxa"/>
            <w:vAlign w:val="center"/>
          </w:tcPr>
          <w:p w:rsidR="003F1569" w:rsidRDefault="003F1569" w:rsidP="003F1569">
            <w:pPr>
              <w:jc w:val="left"/>
              <w:rPr>
                <w:szCs w:val="21"/>
              </w:rPr>
            </w:pPr>
            <w:r>
              <w:rPr>
                <w:rFonts w:hint="eastAsia"/>
                <w:szCs w:val="21"/>
              </w:rPr>
              <w:t>定時株主総会・普通決議</w:t>
            </w:r>
          </w:p>
        </w:tc>
        <w:tc>
          <w:tcPr>
            <w:tcW w:w="1276" w:type="dxa"/>
            <w:vAlign w:val="center"/>
          </w:tcPr>
          <w:p w:rsidR="003F1569" w:rsidRDefault="003F1569" w:rsidP="0007449C">
            <w:pPr>
              <w:jc w:val="center"/>
              <w:rPr>
                <w:szCs w:val="21"/>
              </w:rPr>
            </w:pPr>
            <w:r>
              <w:rPr>
                <w:rFonts w:hint="eastAsia"/>
                <w:szCs w:val="21"/>
              </w:rPr>
              <w:t>●</w:t>
            </w: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restart"/>
            <w:vAlign w:val="center"/>
          </w:tcPr>
          <w:p w:rsidR="0007449C" w:rsidRDefault="0007449C" w:rsidP="003F1569">
            <w:pPr>
              <w:jc w:val="left"/>
              <w:rPr>
                <w:szCs w:val="21"/>
              </w:rPr>
            </w:pPr>
          </w:p>
          <w:p w:rsidR="003F1569" w:rsidRDefault="003F1569" w:rsidP="003F1569">
            <w:pPr>
              <w:jc w:val="left"/>
              <w:rPr>
                <w:szCs w:val="21"/>
              </w:rPr>
            </w:pPr>
            <w:r>
              <w:rPr>
                <w:rFonts w:hint="eastAsia"/>
                <w:szCs w:val="21"/>
              </w:rPr>
              <w:t>その他資本剰余金</w:t>
            </w:r>
          </w:p>
          <w:p w:rsidR="003F1569" w:rsidRDefault="003F1569" w:rsidP="003F1569">
            <w:pPr>
              <w:jc w:val="left"/>
              <w:rPr>
                <w:rFonts w:hint="eastAsia"/>
                <w:szCs w:val="21"/>
              </w:rPr>
            </w:pPr>
          </w:p>
        </w:tc>
        <w:tc>
          <w:tcPr>
            <w:tcW w:w="2835" w:type="dxa"/>
          </w:tcPr>
          <w:p w:rsidR="003F1569" w:rsidRDefault="003F1569" w:rsidP="003F1569">
            <w:pPr>
              <w:jc w:val="left"/>
              <w:rPr>
                <w:rFonts w:hint="eastAsia"/>
                <w:szCs w:val="21"/>
              </w:rPr>
            </w:pPr>
            <w:r>
              <w:rPr>
                <w:rFonts w:hint="eastAsia"/>
                <w:szCs w:val="21"/>
              </w:rPr>
              <w:t>①　資本金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rFonts w:hint="eastAsia"/>
                <w:szCs w:val="21"/>
              </w:rPr>
            </w:pPr>
            <w:r>
              <w:rPr>
                <w:rFonts w:hint="eastAsia"/>
                <w:szCs w:val="21"/>
              </w:rPr>
              <w:t>②　資本準備金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ign w:val="center"/>
          </w:tcPr>
          <w:p w:rsidR="003F1569" w:rsidRDefault="003F1569" w:rsidP="003F1569">
            <w:pPr>
              <w:jc w:val="left"/>
              <w:rPr>
                <w:rFonts w:hint="eastAsia"/>
                <w:szCs w:val="21"/>
              </w:rPr>
            </w:pPr>
          </w:p>
        </w:tc>
        <w:tc>
          <w:tcPr>
            <w:tcW w:w="2835" w:type="dxa"/>
          </w:tcPr>
          <w:p w:rsidR="003F1569" w:rsidRDefault="003F1569" w:rsidP="003F1569">
            <w:pPr>
              <w:ind w:left="420" w:hangingChars="200" w:hanging="420"/>
              <w:jc w:val="left"/>
              <w:rPr>
                <w:rFonts w:hint="eastAsia"/>
                <w:szCs w:val="21"/>
              </w:rPr>
            </w:pPr>
            <w:r>
              <w:rPr>
                <w:rFonts w:hint="eastAsia"/>
                <w:szCs w:val="21"/>
              </w:rPr>
              <w:t>③　その他利益剰余金(マイナスの場合に限る。)</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r>
              <w:rPr>
                <w:rFonts w:hint="eastAsia"/>
                <w:szCs w:val="21"/>
              </w:rPr>
              <w:t>●</w:t>
            </w: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restart"/>
            <w:vAlign w:val="center"/>
          </w:tcPr>
          <w:p w:rsidR="003F1569" w:rsidRDefault="003F1569" w:rsidP="003F1569">
            <w:pPr>
              <w:jc w:val="left"/>
              <w:rPr>
                <w:rFonts w:hint="eastAsia"/>
                <w:szCs w:val="21"/>
              </w:rPr>
            </w:pPr>
            <w:r>
              <w:rPr>
                <w:rFonts w:hint="eastAsia"/>
                <w:szCs w:val="21"/>
              </w:rPr>
              <w:t>利益準備金</w:t>
            </w:r>
          </w:p>
        </w:tc>
        <w:tc>
          <w:tcPr>
            <w:tcW w:w="2835" w:type="dxa"/>
          </w:tcPr>
          <w:p w:rsidR="003F1569" w:rsidRDefault="003F1569" w:rsidP="003F1569">
            <w:pPr>
              <w:jc w:val="left"/>
              <w:rPr>
                <w:rFonts w:hint="eastAsia"/>
                <w:szCs w:val="21"/>
              </w:rPr>
            </w:pPr>
            <w:r>
              <w:rPr>
                <w:rFonts w:hint="eastAsia"/>
                <w:szCs w:val="21"/>
              </w:rPr>
              <w:t>①　資本金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jc w:val="left"/>
              <w:rPr>
                <w:rFonts w:hint="eastAsia"/>
                <w:szCs w:val="21"/>
              </w:rPr>
            </w:pPr>
            <w:r>
              <w:rPr>
                <w:rFonts w:hint="eastAsia"/>
                <w:szCs w:val="21"/>
              </w:rPr>
              <w:t>②　その他利益剰余金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Pr="003F1569" w:rsidRDefault="003F1569" w:rsidP="003F1569">
            <w:pPr>
              <w:jc w:val="left"/>
              <w:rPr>
                <w:rFonts w:hint="eastAsia"/>
                <w:szCs w:val="21"/>
              </w:rPr>
            </w:pPr>
            <w:r>
              <w:rPr>
                <w:rFonts w:hint="eastAsia"/>
                <w:szCs w:val="21"/>
              </w:rPr>
              <w:t>③　欠損てん補</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必要</w:t>
            </w:r>
          </w:p>
        </w:tc>
      </w:tr>
      <w:tr w:rsidR="003F1569" w:rsidRPr="007B4EC4" w:rsidTr="0007449C">
        <w:tc>
          <w:tcPr>
            <w:tcW w:w="1413" w:type="dxa"/>
            <w:vMerge/>
            <w:vAlign w:val="center"/>
          </w:tcPr>
          <w:p w:rsidR="003F1569" w:rsidRDefault="003F1569" w:rsidP="003F1569">
            <w:pPr>
              <w:jc w:val="left"/>
              <w:rPr>
                <w:szCs w:val="21"/>
              </w:rPr>
            </w:pPr>
          </w:p>
        </w:tc>
        <w:tc>
          <w:tcPr>
            <w:tcW w:w="2835" w:type="dxa"/>
          </w:tcPr>
          <w:p w:rsidR="003F1569" w:rsidRDefault="003F1569" w:rsidP="003F1569">
            <w:pPr>
              <w:ind w:left="420" w:hangingChars="200" w:hanging="420"/>
              <w:jc w:val="left"/>
              <w:rPr>
                <w:rFonts w:hint="eastAsia"/>
                <w:szCs w:val="21"/>
              </w:rPr>
            </w:pPr>
            <w:r>
              <w:rPr>
                <w:rFonts w:hint="eastAsia"/>
                <w:szCs w:val="21"/>
              </w:rPr>
              <w:t>④　定時株主総会における欠損てん補で分配可能な剰余金が発生しない場合</w:t>
            </w:r>
          </w:p>
        </w:tc>
        <w:tc>
          <w:tcPr>
            <w:tcW w:w="2551" w:type="dxa"/>
            <w:vAlign w:val="center"/>
          </w:tcPr>
          <w:p w:rsidR="003F1569" w:rsidRDefault="003F1569" w:rsidP="003F1569">
            <w:pPr>
              <w:jc w:val="left"/>
              <w:rPr>
                <w:szCs w:val="21"/>
              </w:rPr>
            </w:pPr>
            <w:r>
              <w:rPr>
                <w:rFonts w:hint="eastAsia"/>
                <w:szCs w:val="21"/>
              </w:rPr>
              <w:t>定時株主総会・普通決議</w:t>
            </w:r>
          </w:p>
        </w:tc>
        <w:tc>
          <w:tcPr>
            <w:tcW w:w="1276" w:type="dxa"/>
            <w:vAlign w:val="center"/>
          </w:tcPr>
          <w:p w:rsidR="003F1569" w:rsidRDefault="003F1569" w:rsidP="0007449C">
            <w:pPr>
              <w:jc w:val="center"/>
              <w:rPr>
                <w:szCs w:val="21"/>
              </w:rPr>
            </w:pPr>
            <w:r>
              <w:rPr>
                <w:rFonts w:hint="eastAsia"/>
                <w:szCs w:val="21"/>
              </w:rPr>
              <w:t>●</w:t>
            </w: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val="restart"/>
            <w:vAlign w:val="center"/>
          </w:tcPr>
          <w:p w:rsidR="003F1569" w:rsidRDefault="003F1569" w:rsidP="003F1569">
            <w:pPr>
              <w:jc w:val="left"/>
              <w:rPr>
                <w:szCs w:val="21"/>
              </w:rPr>
            </w:pPr>
            <w:r>
              <w:rPr>
                <w:rFonts w:hint="eastAsia"/>
                <w:szCs w:val="21"/>
              </w:rPr>
              <w:t>その他利益剰余金</w:t>
            </w:r>
          </w:p>
        </w:tc>
        <w:tc>
          <w:tcPr>
            <w:tcW w:w="2835" w:type="dxa"/>
          </w:tcPr>
          <w:p w:rsidR="003F1569" w:rsidRDefault="003F1569" w:rsidP="003F1569">
            <w:pPr>
              <w:jc w:val="left"/>
              <w:rPr>
                <w:rFonts w:hint="eastAsia"/>
                <w:szCs w:val="21"/>
              </w:rPr>
            </w:pPr>
            <w:r>
              <w:rPr>
                <w:rFonts w:hint="eastAsia"/>
                <w:szCs w:val="21"/>
              </w:rPr>
              <w:t>①　資本金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tcPr>
          <w:p w:rsidR="003F1569" w:rsidRDefault="003F1569" w:rsidP="003F1569">
            <w:pPr>
              <w:jc w:val="left"/>
              <w:rPr>
                <w:szCs w:val="21"/>
              </w:rPr>
            </w:pPr>
          </w:p>
        </w:tc>
        <w:tc>
          <w:tcPr>
            <w:tcW w:w="2835" w:type="dxa"/>
          </w:tcPr>
          <w:p w:rsidR="003F1569" w:rsidRDefault="003F1569" w:rsidP="003F1569">
            <w:pPr>
              <w:jc w:val="left"/>
              <w:rPr>
                <w:rFonts w:hint="eastAsia"/>
                <w:szCs w:val="21"/>
              </w:rPr>
            </w:pPr>
            <w:r>
              <w:rPr>
                <w:rFonts w:hint="eastAsia"/>
                <w:szCs w:val="21"/>
              </w:rPr>
              <w:t>②　利益準備金</w:t>
            </w:r>
          </w:p>
        </w:tc>
        <w:tc>
          <w:tcPr>
            <w:tcW w:w="2551" w:type="dxa"/>
            <w:vAlign w:val="center"/>
          </w:tcPr>
          <w:p w:rsidR="003F1569" w:rsidRDefault="003F1569" w:rsidP="003F1569">
            <w:pPr>
              <w:jc w:val="left"/>
              <w:rPr>
                <w:szCs w:val="21"/>
              </w:rPr>
            </w:pPr>
            <w:r>
              <w:rPr>
                <w:rFonts w:hint="eastAsia"/>
                <w:szCs w:val="21"/>
              </w:rPr>
              <w:t>株主総会・普通決議</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1413" w:type="dxa"/>
            <w:vMerge/>
          </w:tcPr>
          <w:p w:rsidR="003F1569" w:rsidRDefault="003F1569" w:rsidP="003F1569">
            <w:pPr>
              <w:jc w:val="left"/>
              <w:rPr>
                <w:szCs w:val="21"/>
              </w:rPr>
            </w:pPr>
          </w:p>
        </w:tc>
        <w:tc>
          <w:tcPr>
            <w:tcW w:w="2835" w:type="dxa"/>
          </w:tcPr>
          <w:p w:rsidR="003F1569" w:rsidRDefault="003F1569" w:rsidP="003F1569">
            <w:pPr>
              <w:ind w:left="420" w:hangingChars="200" w:hanging="420"/>
              <w:jc w:val="left"/>
              <w:rPr>
                <w:rFonts w:hint="eastAsia"/>
                <w:szCs w:val="21"/>
              </w:rPr>
            </w:pPr>
            <w:r>
              <w:rPr>
                <w:rFonts w:hint="eastAsia"/>
                <w:szCs w:val="21"/>
              </w:rPr>
              <w:t>③　その他資本剰余金(マイナスの場合に限る。)</w:t>
            </w:r>
          </w:p>
        </w:tc>
        <w:tc>
          <w:tcPr>
            <w:tcW w:w="2551" w:type="dxa"/>
          </w:tcPr>
          <w:p w:rsidR="003F1569" w:rsidRDefault="003F1569" w:rsidP="003F1569">
            <w:pPr>
              <w:jc w:val="left"/>
              <w:rPr>
                <w:rFonts w:hint="eastAsia"/>
                <w:szCs w:val="21"/>
              </w:rPr>
            </w:pPr>
            <w:r>
              <w:rPr>
                <w:rFonts w:hint="eastAsia"/>
                <w:szCs w:val="21"/>
              </w:rPr>
              <w:t>決議不要(法律上、当然に行われる。)</w:t>
            </w:r>
          </w:p>
        </w:tc>
        <w:tc>
          <w:tcPr>
            <w:tcW w:w="1276" w:type="dxa"/>
            <w:vAlign w:val="center"/>
          </w:tcPr>
          <w:p w:rsidR="003F1569" w:rsidRDefault="003F1569" w:rsidP="0007449C">
            <w:pPr>
              <w:jc w:val="center"/>
              <w:rPr>
                <w:szCs w:val="21"/>
              </w:rPr>
            </w:pPr>
          </w:p>
        </w:tc>
        <w:tc>
          <w:tcPr>
            <w:tcW w:w="1701" w:type="dxa"/>
            <w:vAlign w:val="center"/>
          </w:tcPr>
          <w:p w:rsidR="003F1569" w:rsidRDefault="003F1569" w:rsidP="0007449C">
            <w:pPr>
              <w:jc w:val="center"/>
              <w:rPr>
                <w:szCs w:val="21"/>
              </w:rPr>
            </w:pPr>
            <w:r>
              <w:rPr>
                <w:rFonts w:hint="eastAsia"/>
                <w:szCs w:val="21"/>
              </w:rPr>
              <w:t>不要</w:t>
            </w:r>
          </w:p>
        </w:tc>
      </w:tr>
      <w:tr w:rsidR="003F1569" w:rsidRPr="007B4EC4" w:rsidTr="0007449C">
        <w:tc>
          <w:tcPr>
            <w:tcW w:w="4248" w:type="dxa"/>
            <w:gridSpan w:val="2"/>
          </w:tcPr>
          <w:p w:rsidR="003F1569" w:rsidRDefault="003F1569" w:rsidP="003F1569">
            <w:pPr>
              <w:ind w:left="420" w:hangingChars="200" w:hanging="420"/>
              <w:jc w:val="left"/>
              <w:rPr>
                <w:rFonts w:hint="eastAsia"/>
                <w:szCs w:val="21"/>
              </w:rPr>
            </w:pPr>
            <w:r>
              <w:rPr>
                <w:rFonts w:hint="eastAsia"/>
                <w:szCs w:val="21"/>
              </w:rPr>
              <w:t>その他利益剰余金の処分(任意積立金の積立て又は取崩し)</w:t>
            </w:r>
          </w:p>
        </w:tc>
        <w:tc>
          <w:tcPr>
            <w:tcW w:w="2551" w:type="dxa"/>
          </w:tcPr>
          <w:p w:rsidR="003F1569" w:rsidRPr="003F1569" w:rsidRDefault="003F1569" w:rsidP="003F1569">
            <w:pPr>
              <w:jc w:val="left"/>
              <w:rPr>
                <w:rFonts w:hint="eastAsia"/>
                <w:szCs w:val="21"/>
              </w:rPr>
            </w:pPr>
            <w:r>
              <w:rPr>
                <w:rFonts w:hint="eastAsia"/>
                <w:szCs w:val="21"/>
              </w:rPr>
              <w:t>株主総会・普通決議(一部は取締役会の決議)</w:t>
            </w:r>
          </w:p>
        </w:tc>
        <w:tc>
          <w:tcPr>
            <w:tcW w:w="1276" w:type="dxa"/>
            <w:vAlign w:val="center"/>
          </w:tcPr>
          <w:p w:rsidR="003F1569" w:rsidRPr="003F1569" w:rsidRDefault="003F1569" w:rsidP="0007449C">
            <w:pPr>
              <w:jc w:val="center"/>
              <w:rPr>
                <w:szCs w:val="21"/>
              </w:rPr>
            </w:pPr>
            <w:r>
              <w:rPr>
                <w:rFonts w:hint="eastAsia"/>
                <w:szCs w:val="21"/>
              </w:rPr>
              <w:t>●</w:t>
            </w:r>
          </w:p>
        </w:tc>
        <w:tc>
          <w:tcPr>
            <w:tcW w:w="1701" w:type="dxa"/>
            <w:vAlign w:val="center"/>
          </w:tcPr>
          <w:p w:rsidR="003F1569" w:rsidRDefault="003F1569" w:rsidP="0007449C">
            <w:pPr>
              <w:jc w:val="center"/>
              <w:rPr>
                <w:rFonts w:hint="eastAsia"/>
                <w:szCs w:val="21"/>
              </w:rPr>
            </w:pPr>
            <w:r>
              <w:rPr>
                <w:rFonts w:hint="eastAsia"/>
                <w:szCs w:val="21"/>
              </w:rPr>
              <w:t>不要</w:t>
            </w:r>
          </w:p>
        </w:tc>
      </w:tr>
    </w:tbl>
    <w:p w:rsidR="00242714" w:rsidRDefault="003F1569" w:rsidP="003F1569">
      <w:pPr>
        <w:pStyle w:val="a4"/>
        <w:numPr>
          <w:ilvl w:val="0"/>
          <w:numId w:val="1"/>
        </w:numPr>
        <w:ind w:leftChars="0"/>
        <w:jc w:val="left"/>
        <w:rPr>
          <w:szCs w:val="21"/>
        </w:rPr>
      </w:pPr>
      <w:r>
        <w:rPr>
          <w:rFonts w:hint="eastAsia"/>
          <w:szCs w:val="21"/>
        </w:rPr>
        <w:t>『分配特則規定適用会社』の●印は、取締役会決議でできるという意味である。</w:t>
      </w:r>
    </w:p>
    <w:p w:rsidR="003F1569" w:rsidRPr="003F1569" w:rsidRDefault="003F1569" w:rsidP="003F1569">
      <w:pPr>
        <w:pStyle w:val="a4"/>
        <w:numPr>
          <w:ilvl w:val="0"/>
          <w:numId w:val="1"/>
        </w:numPr>
        <w:ind w:leftChars="0"/>
        <w:jc w:val="left"/>
        <w:rPr>
          <w:szCs w:val="21"/>
        </w:rPr>
      </w:pPr>
      <w:r>
        <w:rPr>
          <w:rFonts w:hint="eastAsia"/>
          <w:szCs w:val="21"/>
        </w:rPr>
        <w:t>債権者保護手続とは、『官報の公告』及び『個別催告』をいう。</w:t>
      </w:r>
    </w:p>
    <w:sectPr w:rsidR="003F1569" w:rsidRPr="003F1569" w:rsidSect="003F1569">
      <w:pgSz w:w="11906" w:h="16838"/>
      <w:pgMar w:top="56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721"/>
    <w:multiLevelType w:val="hybridMultilevel"/>
    <w:tmpl w:val="54A23426"/>
    <w:lvl w:ilvl="0" w:tplc="187A705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14"/>
    <w:rsid w:val="00007714"/>
    <w:rsid w:val="00017CA6"/>
    <w:rsid w:val="00071F93"/>
    <w:rsid w:val="0007449C"/>
    <w:rsid w:val="000804E8"/>
    <w:rsid w:val="00084F54"/>
    <w:rsid w:val="000B35CB"/>
    <w:rsid w:val="0016475F"/>
    <w:rsid w:val="001663FF"/>
    <w:rsid w:val="001C3DEC"/>
    <w:rsid w:val="00211F20"/>
    <w:rsid w:val="0021612A"/>
    <w:rsid w:val="002408C6"/>
    <w:rsid w:val="00242714"/>
    <w:rsid w:val="00246CB2"/>
    <w:rsid w:val="002817C0"/>
    <w:rsid w:val="002A38CF"/>
    <w:rsid w:val="002B7D12"/>
    <w:rsid w:val="00330882"/>
    <w:rsid w:val="003774A3"/>
    <w:rsid w:val="003903A7"/>
    <w:rsid w:val="003A373E"/>
    <w:rsid w:val="003A5E06"/>
    <w:rsid w:val="003B458B"/>
    <w:rsid w:val="003C7CF3"/>
    <w:rsid w:val="003E0CAF"/>
    <w:rsid w:val="003F1569"/>
    <w:rsid w:val="0043384A"/>
    <w:rsid w:val="004851D6"/>
    <w:rsid w:val="00487EB7"/>
    <w:rsid w:val="00497E1D"/>
    <w:rsid w:val="004B1E3B"/>
    <w:rsid w:val="004C42EB"/>
    <w:rsid w:val="004D510C"/>
    <w:rsid w:val="004F3E37"/>
    <w:rsid w:val="005371EE"/>
    <w:rsid w:val="00552E36"/>
    <w:rsid w:val="00563209"/>
    <w:rsid w:val="005B4E7B"/>
    <w:rsid w:val="0062527A"/>
    <w:rsid w:val="006708DD"/>
    <w:rsid w:val="006A7CFB"/>
    <w:rsid w:val="006D21AC"/>
    <w:rsid w:val="006D5F26"/>
    <w:rsid w:val="006E14EA"/>
    <w:rsid w:val="006E6553"/>
    <w:rsid w:val="00754048"/>
    <w:rsid w:val="00771547"/>
    <w:rsid w:val="007B4EC4"/>
    <w:rsid w:val="007B7D69"/>
    <w:rsid w:val="008128BC"/>
    <w:rsid w:val="00822971"/>
    <w:rsid w:val="008316DA"/>
    <w:rsid w:val="00834025"/>
    <w:rsid w:val="0083573E"/>
    <w:rsid w:val="00844B4A"/>
    <w:rsid w:val="00880694"/>
    <w:rsid w:val="008A2DE8"/>
    <w:rsid w:val="008B5D1B"/>
    <w:rsid w:val="008F4A91"/>
    <w:rsid w:val="00941686"/>
    <w:rsid w:val="0097167C"/>
    <w:rsid w:val="00990C20"/>
    <w:rsid w:val="00994DF1"/>
    <w:rsid w:val="00A14DA6"/>
    <w:rsid w:val="00A23769"/>
    <w:rsid w:val="00A26614"/>
    <w:rsid w:val="00A55C4F"/>
    <w:rsid w:val="00A83EE4"/>
    <w:rsid w:val="00AE77DB"/>
    <w:rsid w:val="00B16C36"/>
    <w:rsid w:val="00B4426E"/>
    <w:rsid w:val="00B472DD"/>
    <w:rsid w:val="00B513F9"/>
    <w:rsid w:val="00BC0C4A"/>
    <w:rsid w:val="00BD2D8F"/>
    <w:rsid w:val="00C324CC"/>
    <w:rsid w:val="00C46A58"/>
    <w:rsid w:val="00C6291A"/>
    <w:rsid w:val="00C7317E"/>
    <w:rsid w:val="00C91C82"/>
    <w:rsid w:val="00CA2964"/>
    <w:rsid w:val="00CB7665"/>
    <w:rsid w:val="00CC0E28"/>
    <w:rsid w:val="00D053AE"/>
    <w:rsid w:val="00D34C41"/>
    <w:rsid w:val="00D818E3"/>
    <w:rsid w:val="00DC0285"/>
    <w:rsid w:val="00DD2F26"/>
    <w:rsid w:val="00E57F02"/>
    <w:rsid w:val="00E7304B"/>
    <w:rsid w:val="00E756EC"/>
    <w:rsid w:val="00E80090"/>
    <w:rsid w:val="00EA5B3D"/>
    <w:rsid w:val="00ED275E"/>
    <w:rsid w:val="00ED2B9F"/>
    <w:rsid w:val="00EE1790"/>
    <w:rsid w:val="00F3051D"/>
    <w:rsid w:val="00F32106"/>
    <w:rsid w:val="00F352D2"/>
    <w:rsid w:val="00F54BE8"/>
    <w:rsid w:val="00F87454"/>
    <w:rsid w:val="00FB4709"/>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ABED6"/>
  <w15:chartTrackingRefBased/>
  <w15:docId w15:val="{007D69F5-3C6D-4BA0-9588-7B118635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405E-D699-469D-B292-CB6E10D4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KURA002</dc:creator>
  <cp:keywords/>
  <dc:description/>
  <cp:lastModifiedBy>KURA002</cp:lastModifiedBy>
  <cp:revision>2</cp:revision>
  <dcterms:created xsi:type="dcterms:W3CDTF">2016-12-14T08:22:00Z</dcterms:created>
  <dcterms:modified xsi:type="dcterms:W3CDTF">2016-12-15T08:33:00Z</dcterms:modified>
</cp:coreProperties>
</file>