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游明朝" w:eastAsia="游明朝"/>
          <w:kern w:val="2"/>
          <w:sz w:val="2"/>
        </w:rPr>
        <w:id w:val="332706"/>
        <w:docPartObj>
          <w:docPartGallery w:val="Cover Pages"/>
          <w:docPartUnique/>
        </w:docPartObj>
      </w:sdtPr>
      <w:sdtEndPr>
        <w:rPr>
          <w:sz w:val="21"/>
        </w:rPr>
      </w:sdtEndPr>
      <w:sdtContent>
        <w:p w:rsidR="00977638" w:rsidRDefault="00977638">
          <w:pPr>
            <w:pStyle w:val="a8"/>
            <w:rPr>
              <w:sz w:val="2"/>
            </w:rPr>
          </w:pPr>
        </w:p>
        <w:p w:rsidR="00977638" w:rsidRDefault="00977638">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493" w:rsidRPr="00A6092D" w:rsidRDefault="007C4EB2" w:rsidP="00A6092D">
                                <w:pPr>
                                  <w:pStyle w:val="a8"/>
                                  <w:rPr>
                                    <w:rFonts w:asciiTheme="majorHAnsi" w:eastAsiaTheme="majorEastAsia" w:hAnsiTheme="majorHAnsi" w:cstheme="majorBidi"/>
                                    <w:caps/>
                                    <w:color w:val="8496B0" w:themeColor="text2" w:themeTint="99"/>
                                    <w:sz w:val="68"/>
                                    <w:szCs w:val="68"/>
                                  </w:rPr>
                                </w:pPr>
                                <w:sdt>
                                  <w:sdtPr>
                                    <w:rPr>
                                      <w:rFonts w:asciiTheme="majorHAnsi" w:eastAsiaTheme="majorEastAsia" w:hAnsiTheme="majorHAnsi" w:cstheme="majorBidi"/>
                                      <w:caps/>
                                      <w:color w:val="8496B0" w:themeColor="text2" w:themeTint="99"/>
                                      <w:sz w:val="56"/>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EndPr/>
                                  <w:sdtContent>
                                    <w:r w:rsidR="00E07493">
                                      <w:rPr>
                                        <w:rFonts w:asciiTheme="majorHAnsi" w:eastAsiaTheme="majorEastAsia" w:hAnsiTheme="majorHAnsi" w:cstheme="majorBidi" w:hint="eastAsia"/>
                                        <w:caps/>
                                        <w:color w:val="8496B0" w:themeColor="text2" w:themeTint="99"/>
                                        <w:sz w:val="56"/>
                                        <w:szCs w:val="64"/>
                                      </w:rPr>
                                      <w:t>事業承継税制のポイント</w:t>
                                    </w:r>
                                  </w:sdtContent>
                                </w:sdt>
                              </w:p>
                              <w:p w:rsidR="00E07493" w:rsidRPr="00C26ED0" w:rsidRDefault="00E07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テキスト ボックス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" filled="f" stroked="f" strokeweight=".5pt">
                    <v:textbox style="mso-fit-shape-to-text:t">
                      <w:txbxContent>
                        <w:p w:rsidR="00E07493" w:rsidRPr="00A6092D" w:rsidRDefault="007C4EB2" w:rsidP="00A6092D">
                          <w:pPr>
                            <w:pStyle w:val="a8"/>
                            <w:rPr>
                              <w:rFonts w:asciiTheme="majorHAnsi" w:eastAsiaTheme="majorEastAsia" w:hAnsiTheme="majorHAnsi" w:cstheme="majorBidi"/>
                              <w:caps/>
                              <w:color w:val="8496B0" w:themeColor="text2" w:themeTint="99"/>
                              <w:sz w:val="68"/>
                              <w:szCs w:val="68"/>
                            </w:rPr>
                          </w:pPr>
                          <w:sdt>
                            <w:sdtPr>
                              <w:rPr>
                                <w:rFonts w:asciiTheme="majorHAnsi" w:eastAsiaTheme="majorEastAsia" w:hAnsiTheme="majorHAnsi" w:cstheme="majorBidi"/>
                                <w:caps/>
                                <w:color w:val="8496B0" w:themeColor="text2" w:themeTint="99"/>
                                <w:sz w:val="56"/>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EndPr/>
                            <w:sdtContent>
                              <w:r w:rsidR="00E07493">
                                <w:rPr>
                                  <w:rFonts w:asciiTheme="majorHAnsi" w:eastAsiaTheme="majorEastAsia" w:hAnsiTheme="majorHAnsi" w:cstheme="majorBidi" w:hint="eastAsia"/>
                                  <w:caps/>
                                  <w:color w:val="8496B0" w:themeColor="text2" w:themeTint="99"/>
                                  <w:sz w:val="56"/>
                                  <w:szCs w:val="64"/>
                                </w:rPr>
                                <w:t>事業承継税制のポイント</w:t>
                              </w:r>
                            </w:sdtContent>
                          </w:sdt>
                        </w:p>
                        <w:p w:rsidR="00E07493" w:rsidRPr="00C26ED0" w:rsidRDefault="00E07493"/>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F6BFFF3" id="グループ 2" o:spid="_x0000_s1026" style="position:absolute;left:0;text-align:left;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cgDorgoHAADLJgAADgAAAAAAAAAAAAAAAAAuAgAAZHJzL2Uyb0RvYy54bWxQ&#10;SwECLQAUAAYACAAAACEACiDUgtoAAAAFAQAADwAAAAAAAAAAAAAAAABkCQAAZHJzL2Rvd25yZXYu&#10;eG1sUEsFBgAAAAAEAAQA8wAAAGsKAAAAAA==&#10;">
                    <o:lock v:ext="edit" aspectratio="t"/>
                    <v:shape id="フリーフォーム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テキスト ボックス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493" w:rsidRDefault="007C4EB2">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E07493">
                                      <w:rPr>
                                        <w:rFonts w:hint="eastAsia"/>
                                        <w:color w:val="4472C4" w:themeColor="accent1"/>
                                        <w:sz w:val="36"/>
                                        <w:szCs w:val="36"/>
                                      </w:rPr>
                                      <w:t>倉重税務会計事務所</w:t>
                                    </w:r>
                                  </w:sdtContent>
                                </w:sdt>
                              </w:p>
                              <w:p w:rsidR="00E07493" w:rsidRDefault="007C4EB2">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r w:rsidR="00E07493">
                                      <w:rPr>
                                        <w:rFonts w:hint="eastAsia"/>
                                        <w:color w:val="4472C4" w:themeColor="accent1"/>
                                        <w:sz w:val="36"/>
                                        <w:szCs w:val="36"/>
                                      </w:rPr>
                                      <w:t>三浦　伸子</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テキスト ボックス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" filled="f" stroked="f" strokeweight=".5pt">
                    <v:textbox style="mso-fit-shape-to-text:t" inset="0,0,0,0">
                      <w:txbxContent>
                        <w:p w:rsidR="00E07493" w:rsidRDefault="007C4EB2">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E07493">
                                <w:rPr>
                                  <w:rFonts w:hint="eastAsia"/>
                                  <w:color w:val="4472C4" w:themeColor="accent1"/>
                                  <w:sz w:val="36"/>
                                  <w:szCs w:val="36"/>
                                </w:rPr>
                                <w:t>倉重税務会計事務所</w:t>
                              </w:r>
                            </w:sdtContent>
                          </w:sdt>
                        </w:p>
                        <w:p w:rsidR="00E07493" w:rsidRDefault="007C4EB2">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r w:rsidR="00E07493">
                                <w:rPr>
                                  <w:rFonts w:hint="eastAsia"/>
                                  <w:color w:val="4472C4" w:themeColor="accent1"/>
                                  <w:sz w:val="36"/>
                                  <w:szCs w:val="36"/>
                                </w:rPr>
                                <w:t>三浦　伸子</w:t>
                              </w:r>
                            </w:sdtContent>
                          </w:sdt>
                        </w:p>
                      </w:txbxContent>
                    </v:textbox>
                    <w10:wrap anchorx="page" anchory="margin"/>
                  </v:shape>
                </w:pict>
              </mc:Fallback>
            </mc:AlternateContent>
          </w:r>
        </w:p>
        <w:p w:rsidR="00977638" w:rsidRDefault="00977638">
          <w:pPr>
            <w:widowControl/>
            <w:jc w:val="left"/>
          </w:pPr>
          <w:r>
            <w:rPr>
              <w:noProof/>
            </w:rPr>
            <mc:AlternateContent>
              <mc:Choice Requires="wps">
                <w:drawing>
                  <wp:anchor distT="0" distB="0" distL="114300" distR="114300" simplePos="0" relativeHeight="251662336" behindDoc="0" locked="0" layoutInCell="1" allowOverlap="1">
                    <wp:simplePos x="0" y="0"/>
                    <wp:positionH relativeFrom="column">
                      <wp:posOffset>4328571</wp:posOffset>
                    </wp:positionH>
                    <wp:positionV relativeFrom="paragraph">
                      <wp:posOffset>6687148</wp:posOffset>
                    </wp:positionV>
                    <wp:extent cx="914400" cy="282389"/>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914400" cy="282389"/>
                            </a:xfrm>
                            <a:prstGeom prst="rect">
                              <a:avLst/>
                            </a:prstGeom>
                            <a:solidFill>
                              <a:schemeClr val="lt1"/>
                            </a:solidFill>
                            <a:ln w="6350">
                              <a:noFill/>
                            </a:ln>
                          </wps:spPr>
                          <wps:txbx>
                            <w:txbxContent>
                              <w:p w:rsidR="00E07493" w:rsidRPr="00977638" w:rsidRDefault="00E07493">
                                <w:pPr>
                                  <w:rPr>
                                    <w:color w:val="4472C4" w:themeColor="accent1"/>
                                  </w:rPr>
                                </w:pPr>
                                <w:r w:rsidRPr="00977638">
                                  <w:rPr>
                                    <w:rFonts w:hint="eastAsia"/>
                                    <w:color w:val="4472C4" w:themeColor="accent1"/>
                                  </w:rPr>
                                  <w:t>2018年</w:t>
                                </w:r>
                                <w:r>
                                  <w:rPr>
                                    <w:rFonts w:hint="eastAsia"/>
                                    <w:color w:val="4472C4" w:themeColor="accent1"/>
                                  </w:rPr>
                                  <w:t>11</w:t>
                                </w:r>
                                <w:r w:rsidRPr="00977638">
                                  <w:rPr>
                                    <w:rFonts w:hint="eastAsia"/>
                                    <w:color w:val="4472C4" w:themeColor="accent1"/>
                                  </w:rPr>
                                  <w:t>月</w:t>
                                </w:r>
                                <w:r w:rsidR="00FF3356">
                                  <w:rPr>
                                    <w:rFonts w:hint="eastAsia"/>
                                    <w:color w:val="4472C4" w:themeColor="accent1"/>
                                  </w:rPr>
                                  <w:t>29</w:t>
                                </w:r>
                                <w:r w:rsidRPr="00977638">
                                  <w:rPr>
                                    <w:rFonts w:hint="eastAsia"/>
                                    <w:color w:val="4472C4" w:themeColor="accent1"/>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28" type="#_x0000_t202" style="position:absolute;margin-left:340.85pt;margin-top:526.55pt;width:1in;height:22.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" fillcolor="white [3201]" stroked="f" strokeweight=".5pt">
                    <v:textbox>
                      <w:txbxContent>
                        <w:p w:rsidR="00E07493" w:rsidRPr="00977638" w:rsidRDefault="00E07493">
                          <w:pPr>
                            <w:rPr>
                              <w:color w:val="4472C4" w:themeColor="accent1"/>
                            </w:rPr>
                          </w:pPr>
                          <w:r w:rsidRPr="00977638">
                            <w:rPr>
                              <w:rFonts w:hint="eastAsia"/>
                              <w:color w:val="4472C4" w:themeColor="accent1"/>
                            </w:rPr>
                            <w:t>2018年</w:t>
                          </w:r>
                          <w:r>
                            <w:rPr>
                              <w:rFonts w:hint="eastAsia"/>
                              <w:color w:val="4472C4" w:themeColor="accent1"/>
                            </w:rPr>
                            <w:t>11</w:t>
                          </w:r>
                          <w:r w:rsidRPr="00977638">
                            <w:rPr>
                              <w:rFonts w:hint="eastAsia"/>
                              <w:color w:val="4472C4" w:themeColor="accent1"/>
                            </w:rPr>
                            <w:t>月</w:t>
                          </w:r>
                          <w:r w:rsidR="00FF3356">
                            <w:rPr>
                              <w:rFonts w:hint="eastAsia"/>
                              <w:color w:val="4472C4" w:themeColor="accent1"/>
                            </w:rPr>
                            <w:t>29</w:t>
                          </w:r>
                          <w:r w:rsidRPr="00977638">
                            <w:rPr>
                              <w:rFonts w:hint="eastAsia"/>
                              <w:color w:val="4472C4" w:themeColor="accent1"/>
                            </w:rPr>
                            <w:t>日</w:t>
                          </w:r>
                        </w:p>
                      </w:txbxContent>
                    </v:textbox>
                  </v:shape>
                </w:pict>
              </mc:Fallback>
            </mc:AlternateContent>
          </w:r>
          <w:r>
            <w:br w:type="page"/>
          </w:r>
        </w:p>
      </w:sdtContent>
    </w:sdt>
    <w:p w:rsidR="00E831CC" w:rsidRDefault="007D079D" w:rsidP="00A32566">
      <w:pPr>
        <w:pStyle w:val="a3"/>
        <w:numPr>
          <w:ilvl w:val="0"/>
          <w:numId w:val="1"/>
        </w:numPr>
        <w:ind w:leftChars="0"/>
      </w:pPr>
      <w:r>
        <w:rPr>
          <w:rFonts w:hint="eastAsia"/>
        </w:rPr>
        <w:lastRenderedPageBreak/>
        <w:t>事業承継税制</w:t>
      </w:r>
      <w:r w:rsidR="00A6092D">
        <w:rPr>
          <w:rFonts w:hint="eastAsia"/>
        </w:rPr>
        <w:t>とは</w:t>
      </w:r>
    </w:p>
    <w:p w:rsidR="007D079D" w:rsidRDefault="007D079D" w:rsidP="007D079D">
      <w:pPr>
        <w:pStyle w:val="a3"/>
        <w:ind w:leftChars="0" w:left="420"/>
      </w:pPr>
      <w:r>
        <w:rPr>
          <w:rFonts w:hint="eastAsia"/>
        </w:rPr>
        <w:t>後継者である受贈者・相続人等が、円滑化法の認定を受けている非上場会社の株式等を贈与又は相続等により取得した場合において、その非上場株式等に係る贈与税・相続税について、一定の要件のもと、その納税を猶予し、後継者の死亡等により、納税が猶予されている贈与税・相続税の納付が免除される制度。</w:t>
      </w:r>
    </w:p>
    <w:p w:rsidR="007D079D" w:rsidRDefault="000E2490" w:rsidP="000E2490">
      <w:pPr>
        <w:pStyle w:val="a3"/>
        <w:numPr>
          <w:ilvl w:val="0"/>
          <w:numId w:val="2"/>
        </w:numPr>
        <w:ind w:leftChars="0"/>
      </w:pPr>
      <w:r>
        <w:rPr>
          <w:rFonts w:hint="eastAsia"/>
        </w:rPr>
        <w:t>平成30年度税制改正では、これまでの措置に加え、10年間の措置として納税猶予の対象となる非上場株式等の制限(総株式数の最大3分の2まで)の撤廃や、納税猶予割合の引き上げ(80％から100％)等がされた特例措置が創設された。</w:t>
      </w:r>
    </w:p>
    <w:p w:rsidR="000E2490" w:rsidRDefault="000E2490" w:rsidP="000E2490">
      <w:pPr>
        <w:pStyle w:val="a3"/>
        <w:ind w:leftChars="0"/>
      </w:pPr>
      <w:r w:rsidRPr="000E2490">
        <w:rPr>
          <w:rFonts w:hint="eastAsia"/>
          <w:noProof/>
        </w:rPr>
        <w:drawing>
          <wp:inline distT="0" distB="0" distL="0" distR="0">
            <wp:extent cx="5400040" cy="287845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878455"/>
                    </a:xfrm>
                    <a:prstGeom prst="rect">
                      <a:avLst/>
                    </a:prstGeom>
                    <a:noFill/>
                    <a:ln>
                      <a:noFill/>
                    </a:ln>
                  </pic:spPr>
                </pic:pic>
              </a:graphicData>
            </a:graphic>
          </wp:inline>
        </w:drawing>
      </w:r>
    </w:p>
    <w:p w:rsidR="000E2490" w:rsidRDefault="000E2490" w:rsidP="000E2490"/>
    <w:p w:rsidR="009164DC" w:rsidRDefault="009164DC">
      <w:pPr>
        <w:widowControl/>
        <w:jc w:val="left"/>
      </w:pPr>
      <w:r>
        <w:br w:type="page"/>
      </w:r>
    </w:p>
    <w:p w:rsidR="005833CD" w:rsidRDefault="005833CD" w:rsidP="005833CD">
      <w:pPr>
        <w:pStyle w:val="a3"/>
        <w:numPr>
          <w:ilvl w:val="0"/>
          <w:numId w:val="1"/>
        </w:numPr>
        <w:ind w:leftChars="0"/>
      </w:pPr>
      <w:r>
        <w:rPr>
          <w:rFonts w:hint="eastAsia"/>
        </w:rPr>
        <w:lastRenderedPageBreak/>
        <w:t>この制度の適用を受けるための主な要件</w:t>
      </w:r>
    </w:p>
    <w:p w:rsidR="005833CD" w:rsidRDefault="005833CD" w:rsidP="005833CD">
      <w:pPr>
        <w:pStyle w:val="a3"/>
        <w:numPr>
          <w:ilvl w:val="1"/>
          <w:numId w:val="1"/>
        </w:numPr>
        <w:ind w:leftChars="0"/>
      </w:pPr>
      <w:r>
        <w:rPr>
          <w:rFonts w:hint="eastAsia"/>
        </w:rPr>
        <w:t>会社の主な要件</w:t>
      </w:r>
    </w:p>
    <w:p w:rsidR="005833CD" w:rsidRDefault="009164DC" w:rsidP="005833CD">
      <w:pPr>
        <w:pStyle w:val="a3"/>
        <w:ind w:leftChars="0"/>
      </w:pPr>
      <w:r w:rsidRPr="009164DC">
        <w:rPr>
          <w:noProof/>
        </w:rPr>
        <w:drawing>
          <wp:inline distT="0" distB="0" distL="0" distR="0">
            <wp:extent cx="5400040" cy="33178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317875"/>
                    </a:xfrm>
                    <a:prstGeom prst="rect">
                      <a:avLst/>
                    </a:prstGeom>
                    <a:noFill/>
                    <a:ln>
                      <a:noFill/>
                    </a:ln>
                  </pic:spPr>
                </pic:pic>
              </a:graphicData>
            </a:graphic>
          </wp:inline>
        </w:drawing>
      </w:r>
    </w:p>
    <w:p w:rsidR="009164DC" w:rsidRDefault="009164DC" w:rsidP="009164DC">
      <w:pPr>
        <w:pStyle w:val="a3"/>
        <w:numPr>
          <w:ilvl w:val="1"/>
          <w:numId w:val="1"/>
        </w:numPr>
        <w:ind w:leftChars="0"/>
      </w:pPr>
      <w:r>
        <w:rPr>
          <w:rFonts w:hint="eastAsia"/>
        </w:rPr>
        <w:t>先代経営者の主な要件</w:t>
      </w:r>
    </w:p>
    <w:p w:rsidR="009164DC" w:rsidRDefault="009164DC" w:rsidP="009164DC">
      <w:pPr>
        <w:pStyle w:val="a3"/>
        <w:ind w:leftChars="0"/>
      </w:pPr>
      <w:r>
        <w:rPr>
          <w:rFonts w:hint="eastAsia"/>
        </w:rPr>
        <w:t>〇　会社の代表者であったこと</w:t>
      </w:r>
    </w:p>
    <w:p w:rsidR="009164DC" w:rsidRDefault="009164DC" w:rsidP="009164DC">
      <w:pPr>
        <w:pStyle w:val="a3"/>
        <w:ind w:leftChars="0"/>
      </w:pPr>
      <w:r>
        <w:rPr>
          <w:rFonts w:hint="eastAsia"/>
        </w:rPr>
        <w:t>〇　相続開始の直前又は贈与の直前において、現経営者と現経営者の親族などで</w:t>
      </w:r>
    </w:p>
    <w:p w:rsidR="009164DC" w:rsidRDefault="009164DC" w:rsidP="009164DC">
      <w:pPr>
        <w:pStyle w:val="a3"/>
        <w:ind w:leftChars="0"/>
      </w:pPr>
      <w:r>
        <w:rPr>
          <w:rFonts w:hint="eastAsia"/>
        </w:rPr>
        <w:t xml:space="preserve">　　総議決権数の過半数を保有しており、かつ、これらの者の中で筆頭株主であっ</w:t>
      </w:r>
    </w:p>
    <w:p w:rsidR="009164DC" w:rsidRPr="009164DC" w:rsidRDefault="009164DC" w:rsidP="009164DC">
      <w:pPr>
        <w:pStyle w:val="a3"/>
        <w:ind w:leftChars="0"/>
      </w:pPr>
      <w:r>
        <w:rPr>
          <w:rFonts w:hint="eastAsia"/>
        </w:rPr>
        <w:t xml:space="preserve">　　たこと。</w:t>
      </w:r>
    </w:p>
    <w:p w:rsidR="009164DC" w:rsidRDefault="009164DC" w:rsidP="009164DC">
      <w:pPr>
        <w:pStyle w:val="a3"/>
        <w:numPr>
          <w:ilvl w:val="1"/>
          <w:numId w:val="1"/>
        </w:numPr>
        <w:ind w:leftChars="0"/>
      </w:pPr>
      <w:r>
        <w:rPr>
          <w:rFonts w:hint="eastAsia"/>
        </w:rPr>
        <w:t>後継者の主な要件</w:t>
      </w:r>
    </w:p>
    <w:p w:rsidR="009164DC" w:rsidRDefault="009164DC" w:rsidP="009164DC">
      <w:pPr>
        <w:pStyle w:val="a3"/>
        <w:ind w:leftChars="0"/>
      </w:pPr>
      <w:r>
        <w:rPr>
          <w:rFonts w:hint="eastAsia"/>
        </w:rPr>
        <w:t>〇　相続開始時又は贈与時において、後継者と後継者の親族などで総議決権数の</w:t>
      </w:r>
    </w:p>
    <w:p w:rsidR="009164DC" w:rsidRDefault="009164DC" w:rsidP="009164DC">
      <w:pPr>
        <w:pStyle w:val="a3"/>
        <w:ind w:leftChars="0"/>
      </w:pPr>
      <w:r>
        <w:rPr>
          <w:rFonts w:hint="eastAsia"/>
        </w:rPr>
        <w:t xml:space="preserve">　　過半数を保有し、かつこれらの者の中で筆頭株主であること。</w:t>
      </w:r>
    </w:p>
    <w:p w:rsidR="009164DC" w:rsidRDefault="009164DC" w:rsidP="009164DC">
      <w:pPr>
        <w:pStyle w:val="a3"/>
        <w:ind w:leftChars="0"/>
      </w:pPr>
      <w:r>
        <w:rPr>
          <w:rFonts w:hint="eastAsia"/>
        </w:rPr>
        <w:t>〇　(相続税のみ)相続開始の直前において役員であり、相続開始から5か月後に</w:t>
      </w:r>
    </w:p>
    <w:p w:rsidR="009164DC" w:rsidRDefault="009164DC" w:rsidP="009164DC">
      <w:pPr>
        <w:pStyle w:val="a3"/>
        <w:ind w:leftChars="0"/>
      </w:pPr>
      <w:r>
        <w:rPr>
          <w:rFonts w:hint="eastAsia"/>
        </w:rPr>
        <w:t xml:space="preserve">　　代表者であること。</w:t>
      </w:r>
    </w:p>
    <w:p w:rsidR="009164DC" w:rsidRDefault="009164DC" w:rsidP="009164DC">
      <w:pPr>
        <w:pStyle w:val="a3"/>
        <w:ind w:leftChars="0"/>
      </w:pPr>
      <w:r>
        <w:rPr>
          <w:rFonts w:hint="eastAsia"/>
        </w:rPr>
        <w:t>〇　(贈与税のみ)贈与時に20歳以上、贈与の直前において3年以上役員であり、</w:t>
      </w:r>
    </w:p>
    <w:p w:rsidR="009164DC" w:rsidRDefault="009164DC" w:rsidP="009164DC">
      <w:pPr>
        <w:pStyle w:val="a3"/>
        <w:ind w:leftChars="0"/>
      </w:pPr>
      <w:r>
        <w:rPr>
          <w:rFonts w:hint="eastAsia"/>
        </w:rPr>
        <w:t xml:space="preserve">　　かつ、代表者であること。</w:t>
      </w:r>
    </w:p>
    <w:p w:rsidR="00F21F47" w:rsidRDefault="00F21F47">
      <w:pPr>
        <w:widowControl/>
        <w:jc w:val="left"/>
      </w:pPr>
      <w:r>
        <w:br w:type="page"/>
      </w:r>
    </w:p>
    <w:p w:rsidR="00D93CE4" w:rsidRDefault="00D93CE4" w:rsidP="00F21F47">
      <w:pPr>
        <w:pStyle w:val="a3"/>
        <w:numPr>
          <w:ilvl w:val="0"/>
          <w:numId w:val="1"/>
        </w:numPr>
        <w:ind w:leftChars="0"/>
      </w:pPr>
      <w:r>
        <w:rPr>
          <w:rFonts w:hint="eastAsia"/>
        </w:rPr>
        <w:lastRenderedPageBreak/>
        <w:t>贈与者と受贈者の範囲</w:t>
      </w:r>
    </w:p>
    <w:p w:rsidR="00D93CE4" w:rsidRDefault="00D93CE4" w:rsidP="00D93CE4">
      <w:pPr>
        <w:pStyle w:val="a3"/>
        <w:numPr>
          <w:ilvl w:val="1"/>
          <w:numId w:val="1"/>
        </w:numPr>
        <w:ind w:leftChars="0"/>
      </w:pPr>
      <w:r>
        <w:rPr>
          <w:rFonts w:hint="eastAsia"/>
        </w:rPr>
        <w:t>先代経営者以外からの贈与も特例事業承継税制の対象</w:t>
      </w:r>
    </w:p>
    <w:p w:rsidR="00D93CE4" w:rsidRDefault="00D93CE4" w:rsidP="00D93CE4">
      <w:pPr>
        <w:pStyle w:val="a3"/>
        <w:ind w:leftChars="0"/>
      </w:pPr>
      <w:r>
        <w:rPr>
          <w:rFonts w:hint="eastAsia"/>
        </w:rPr>
        <w:t>先代経営者以外の、その会社の代表であったことがない複数の株主からの贈与又は相続、遺贈であっても適用対象となる。具体的には、先代経営者の配偶者、兄弟、甥や妹、後継者の兄弟、先代経営者とともに創業した第三者の役員や役員であった者などが考えられる。</w:t>
      </w:r>
    </w:p>
    <w:p w:rsidR="00D93CE4" w:rsidRDefault="00D401F9" w:rsidP="00D93CE4">
      <w:pPr>
        <w:pStyle w:val="a3"/>
        <w:numPr>
          <w:ilvl w:val="1"/>
          <w:numId w:val="1"/>
        </w:numPr>
        <w:ind w:leftChars="0"/>
      </w:pPr>
      <w:r>
        <w:rPr>
          <w:rFonts w:hint="eastAsia"/>
        </w:rPr>
        <w:t>複数株主からの贈与の注意点</w:t>
      </w:r>
    </w:p>
    <w:p w:rsidR="00D401F9" w:rsidRDefault="00D401F9" w:rsidP="00D401F9">
      <w:pPr>
        <w:pStyle w:val="a3"/>
        <w:ind w:leftChars="0"/>
      </w:pPr>
      <w:r>
        <w:rPr>
          <w:rFonts w:hint="eastAsia"/>
        </w:rPr>
        <w:t>後継者が先代経営者以外の者から贈与等により取得する特例認定承継会社の</w:t>
      </w:r>
      <w:r w:rsidR="007313CD">
        <w:rPr>
          <w:rFonts w:hint="eastAsia"/>
        </w:rPr>
        <w:t>非上場株式等については、特例承継期間内に当該贈与等に係る申告書の提出期限が到来するものに限り、本特例の対象となる。</w:t>
      </w:r>
      <w:r w:rsidR="007313CD">
        <w:br/>
      </w:r>
      <w:r w:rsidR="007313CD">
        <w:rPr>
          <w:rFonts w:hint="eastAsia"/>
        </w:rPr>
        <w:t>特例承継機関とは、贈与を受けた年の翌年3月16日から5年後の3月15日までをいう。5年後の3月15日に申告期限がくる贈与は、その前年12月31日までの贈与だという点に注意が必要である。</w:t>
      </w:r>
    </w:p>
    <w:p w:rsidR="00D401F9" w:rsidRDefault="007313CD" w:rsidP="00D93CE4">
      <w:pPr>
        <w:pStyle w:val="a3"/>
        <w:numPr>
          <w:ilvl w:val="1"/>
          <w:numId w:val="1"/>
        </w:numPr>
        <w:ind w:leftChars="0"/>
      </w:pPr>
      <w:r>
        <w:rPr>
          <w:rFonts w:hint="eastAsia"/>
        </w:rPr>
        <w:t>受贈者は最大3名、親族外も可能</w:t>
      </w:r>
    </w:p>
    <w:p w:rsidR="007313CD" w:rsidRDefault="007313CD" w:rsidP="007313CD">
      <w:pPr>
        <w:pStyle w:val="a3"/>
        <w:ind w:leftChars="0"/>
      </w:pPr>
      <w:r>
        <w:rPr>
          <w:rFonts w:hint="eastAsia"/>
        </w:rPr>
        <w:t>特例納税猶予の適用を受けられる受贈者は、特例承継計画に記載された代表権を有する後継者(特例後継者)で、最大3名まで。議決権の保有割合等の要件がある。</w:t>
      </w:r>
      <w:r>
        <w:br/>
      </w:r>
      <w:r>
        <w:rPr>
          <w:rFonts w:hint="eastAsia"/>
        </w:rPr>
        <w:t>特例後継者が複数(2名又は3名)の場合は、それぞれの者が総株主等議決権数の10％以上を有しており、他の同族関係者の中に保有株式数の上位者がいない者に限られる。</w:t>
      </w:r>
    </w:p>
    <w:p w:rsidR="00DA0A5A" w:rsidRDefault="00DA0A5A" w:rsidP="007313CD">
      <w:pPr>
        <w:pStyle w:val="a3"/>
        <w:ind w:leftChars="0"/>
        <w:rPr>
          <w:rFonts w:hint="eastAsia"/>
        </w:rPr>
      </w:pPr>
      <w:r w:rsidRPr="00DA0A5A">
        <w:rPr>
          <w:rFonts w:hint="eastAsia"/>
        </w:rPr>
        <w:drawing>
          <wp:inline distT="0" distB="0" distL="0" distR="0">
            <wp:extent cx="5400040" cy="3152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152775"/>
                    </a:xfrm>
                    <a:prstGeom prst="rect">
                      <a:avLst/>
                    </a:prstGeom>
                    <a:noFill/>
                    <a:ln>
                      <a:noFill/>
                    </a:ln>
                  </pic:spPr>
                </pic:pic>
              </a:graphicData>
            </a:graphic>
          </wp:inline>
        </w:drawing>
      </w:r>
    </w:p>
    <w:p w:rsidR="007313CD" w:rsidRDefault="007313CD" w:rsidP="007313CD">
      <w:pPr>
        <w:jc w:val="right"/>
        <w:rPr>
          <w:bdr w:val="single" w:sz="4" w:space="0" w:color="auto"/>
        </w:rPr>
      </w:pPr>
    </w:p>
    <w:p w:rsidR="007313CD" w:rsidRDefault="007313CD">
      <w:pPr>
        <w:widowControl/>
        <w:jc w:val="left"/>
        <w:rPr>
          <w:bdr w:val="single" w:sz="4" w:space="0" w:color="auto"/>
        </w:rPr>
      </w:pPr>
      <w:r>
        <w:rPr>
          <w:bdr w:val="single" w:sz="4" w:space="0" w:color="auto"/>
        </w:rPr>
        <w:br w:type="page"/>
      </w:r>
      <w:bookmarkStart w:id="0" w:name="_GoBack"/>
      <w:bookmarkEnd w:id="0"/>
    </w:p>
    <w:p w:rsidR="009164DC" w:rsidRDefault="00F21F47" w:rsidP="00F21F47">
      <w:pPr>
        <w:pStyle w:val="a3"/>
        <w:numPr>
          <w:ilvl w:val="0"/>
          <w:numId w:val="1"/>
        </w:numPr>
        <w:ind w:leftChars="0"/>
      </w:pPr>
      <w:r>
        <w:rPr>
          <w:rFonts w:hint="eastAsia"/>
        </w:rPr>
        <w:lastRenderedPageBreak/>
        <w:t>特例納税猶予が適用できる場合</w:t>
      </w:r>
    </w:p>
    <w:p w:rsidR="00F21F47" w:rsidRDefault="00F21F47" w:rsidP="00F21F47">
      <w:pPr>
        <w:pStyle w:val="a3"/>
        <w:numPr>
          <w:ilvl w:val="1"/>
          <w:numId w:val="1"/>
        </w:numPr>
        <w:ind w:leftChars="0"/>
      </w:pPr>
      <w:r>
        <w:rPr>
          <w:rFonts w:hint="eastAsia"/>
        </w:rPr>
        <w:t>平成35年3月31日までに「特例承継計画」を提出済みで、平成39年12月31日までに贈与して贈与税の特例納税猶予の適用を受けたのちに相続が発生した場合(平成30年1月1日から平成35年3月31日までの間であれば、贈与をしたあとに「特例承継計画」を提出することも認められる)</w:t>
      </w:r>
    </w:p>
    <w:p w:rsidR="00F21F47" w:rsidRDefault="00F21F47" w:rsidP="00F21F47">
      <w:pPr>
        <w:pStyle w:val="a3"/>
        <w:numPr>
          <w:ilvl w:val="1"/>
          <w:numId w:val="1"/>
        </w:numPr>
        <w:ind w:leftChars="0"/>
      </w:pPr>
      <w:r>
        <w:rPr>
          <w:rFonts w:hint="eastAsia"/>
        </w:rPr>
        <w:t>「特例承継計画」を未提出で、平成30年1月1日から平成35年3月31日までに相続が発生した場合(相続発生後に「特例承継計画」の提出等が必要)</w:t>
      </w:r>
    </w:p>
    <w:p w:rsidR="00F21F47" w:rsidRDefault="00F21F47" w:rsidP="00F21F47"/>
    <w:p w:rsidR="00D93CE4" w:rsidRDefault="00D93CE4" w:rsidP="00F21F47"/>
    <w:p w:rsidR="00F21F47" w:rsidRDefault="00F21F47" w:rsidP="00F21F47">
      <w:pPr>
        <w:pStyle w:val="a3"/>
        <w:numPr>
          <w:ilvl w:val="0"/>
          <w:numId w:val="1"/>
        </w:numPr>
        <w:ind w:leftChars="0"/>
      </w:pPr>
      <w:r>
        <w:rPr>
          <w:rFonts w:hint="eastAsia"/>
        </w:rPr>
        <w:t>特例承継計画の概要</w:t>
      </w:r>
    </w:p>
    <w:p w:rsidR="00F21F47" w:rsidRDefault="00F21F47" w:rsidP="00F21F47">
      <w:pPr>
        <w:pStyle w:val="a3"/>
        <w:numPr>
          <w:ilvl w:val="1"/>
          <w:numId w:val="1"/>
        </w:numPr>
        <w:ind w:leftChars="0"/>
      </w:pPr>
      <w:r>
        <w:rPr>
          <w:rFonts w:hint="eastAsia"/>
        </w:rPr>
        <w:t>平成35年3月31日までに都道府県庁に提出する</w:t>
      </w:r>
    </w:p>
    <w:p w:rsidR="00F21F47" w:rsidRDefault="00F21F47" w:rsidP="00F21F47">
      <w:pPr>
        <w:pStyle w:val="a3"/>
        <w:ind w:leftChars="0"/>
      </w:pPr>
      <w:r>
        <w:rPr>
          <w:rFonts w:hint="eastAsia"/>
        </w:rPr>
        <w:t>贈与税・相続税の特例納税猶予制度は、原則として平成30年4月1日から平成35年3月31日までに、会社が認定経営革新等支援機関の指導及び助言を受けて作成した「特例承継計画」を都道府県庁に提出した場合に限って適用を受けることができる。</w:t>
      </w:r>
    </w:p>
    <w:p w:rsidR="00F21F47" w:rsidRDefault="00F21F47" w:rsidP="00F21F47">
      <w:pPr>
        <w:pStyle w:val="a3"/>
        <w:numPr>
          <w:ilvl w:val="1"/>
          <w:numId w:val="1"/>
        </w:numPr>
        <w:ind w:leftChars="0"/>
      </w:pPr>
      <w:r>
        <w:rPr>
          <w:rFonts w:hint="eastAsia"/>
        </w:rPr>
        <w:t>特例承継計画(認定申請書)の内容</w:t>
      </w:r>
    </w:p>
    <w:p w:rsidR="00F21F47" w:rsidRDefault="00F21F47" w:rsidP="00F21F47">
      <w:pPr>
        <w:pStyle w:val="a3"/>
        <w:numPr>
          <w:ilvl w:val="2"/>
          <w:numId w:val="1"/>
        </w:numPr>
        <w:ind w:leftChars="0"/>
      </w:pPr>
      <w:r>
        <w:rPr>
          <w:rFonts w:hint="eastAsia"/>
        </w:rPr>
        <w:t>主な記載事項</w:t>
      </w:r>
    </w:p>
    <w:p w:rsidR="00F21F47" w:rsidRDefault="00BD2603" w:rsidP="00F21F47">
      <w:pPr>
        <w:pStyle w:val="a3"/>
        <w:ind w:leftChars="0" w:left="1260"/>
      </w:pPr>
      <w:r>
        <w:rPr>
          <w:rFonts w:hint="eastAsia"/>
        </w:rPr>
        <w:t>特例承継計画には「事業者の名称等」「承継時までの経営見通し」「承継後5年間の事業計画」および「認定経営革新等支援機関等による所見等」を記載する。</w:t>
      </w:r>
      <w:r>
        <w:br/>
      </w:r>
      <w:r>
        <w:rPr>
          <w:rFonts w:hint="eastAsia"/>
        </w:rPr>
        <w:t>平成35年3月31日までは、特例承継計画を提出する前に贈与した場合や相続等があった場合でも特例事業承継税制の適用を受けることが出来る。贈与・相続後に特例承継計画を提出す場合は「承継時までの経営見通し」の記載は必要ない。</w:t>
      </w:r>
    </w:p>
    <w:p w:rsidR="00F21F47" w:rsidRDefault="00BD2603" w:rsidP="00F21F47">
      <w:pPr>
        <w:pStyle w:val="a3"/>
        <w:numPr>
          <w:ilvl w:val="2"/>
          <w:numId w:val="1"/>
        </w:numPr>
        <w:ind w:leftChars="0"/>
      </w:pPr>
      <w:r>
        <w:rPr>
          <w:rFonts w:hint="eastAsia"/>
        </w:rPr>
        <w:t>記載する際のポイント等</w:t>
      </w:r>
    </w:p>
    <w:p w:rsidR="00BD2603" w:rsidRDefault="00BD2603" w:rsidP="00BD2603">
      <w:pPr>
        <w:pStyle w:val="a3"/>
        <w:numPr>
          <w:ilvl w:val="3"/>
          <w:numId w:val="1"/>
        </w:numPr>
        <w:ind w:leftChars="0"/>
      </w:pPr>
      <w:r>
        <w:rPr>
          <w:rFonts w:hint="eastAsia"/>
        </w:rPr>
        <w:t>会社について</w:t>
      </w:r>
    </w:p>
    <w:p w:rsidR="00BD2603" w:rsidRDefault="00BD2603" w:rsidP="00BD2603">
      <w:pPr>
        <w:pStyle w:val="a3"/>
        <w:ind w:leftChars="0" w:left="1680"/>
      </w:pPr>
      <w:r>
        <w:rPr>
          <w:rFonts w:hint="eastAsia"/>
        </w:rPr>
        <w:t>「主たる事業の内容」「資本金額または出資の総額」「常時使用する従業員の数」の欄にそれぞれを記載する。</w:t>
      </w:r>
      <w:r>
        <w:br/>
      </w:r>
      <w:r>
        <w:rPr>
          <w:rFonts w:hint="eastAsia"/>
        </w:rPr>
        <w:t>常時使用する従業員の数は「厚生年金保険の標準月額報酬決定通知書」に記載された被保険者の人数から役員(使用人兼務役員を除く)の数を差し引いた人数等。</w:t>
      </w:r>
    </w:p>
    <w:p w:rsidR="00BD2603" w:rsidRDefault="00BD2603" w:rsidP="00BD2603">
      <w:pPr>
        <w:pStyle w:val="a3"/>
        <w:numPr>
          <w:ilvl w:val="3"/>
          <w:numId w:val="1"/>
        </w:numPr>
        <w:ind w:leftChars="0"/>
      </w:pPr>
      <w:r>
        <w:rPr>
          <w:rFonts w:hint="eastAsia"/>
        </w:rPr>
        <w:t>特例代表者について</w:t>
      </w:r>
    </w:p>
    <w:p w:rsidR="00BD2603" w:rsidRDefault="00BD2603" w:rsidP="00BD2603">
      <w:pPr>
        <w:pStyle w:val="a3"/>
        <w:ind w:leftChars="0" w:left="1680"/>
      </w:pPr>
      <w:r>
        <w:rPr>
          <w:rFonts w:hint="eastAsia"/>
        </w:rPr>
        <w:t>特例代表者(先代経営者)の氏名と代表権の有無を記載する。</w:t>
      </w:r>
    </w:p>
    <w:p w:rsidR="00BD2603" w:rsidRDefault="00BD2603" w:rsidP="00D93CE4">
      <w:pPr>
        <w:pStyle w:val="a3"/>
        <w:ind w:leftChars="0" w:left="1680"/>
      </w:pPr>
      <w:r>
        <w:rPr>
          <w:rFonts w:hint="eastAsia"/>
        </w:rPr>
        <w:t>特例承継計画の確認申請をする際には、先代経営者が代表権を持っていても何ら問題はない。しかし、平成35年3月31日までの間で、贈与後に確認申請書と認定申請書を同時に提出する場合には、代表者でなくなっている必要がある。</w:t>
      </w:r>
    </w:p>
    <w:p w:rsidR="00BD2603" w:rsidRDefault="00BD2603" w:rsidP="00BD2603">
      <w:pPr>
        <w:pStyle w:val="a3"/>
        <w:numPr>
          <w:ilvl w:val="3"/>
          <w:numId w:val="1"/>
        </w:numPr>
        <w:ind w:leftChars="0"/>
      </w:pPr>
      <w:r>
        <w:rPr>
          <w:rFonts w:hint="eastAsia"/>
        </w:rPr>
        <w:lastRenderedPageBreak/>
        <w:t>特例後継者について</w:t>
      </w:r>
    </w:p>
    <w:p w:rsidR="00BD2603" w:rsidRDefault="00BD2603" w:rsidP="00BD2603">
      <w:pPr>
        <w:pStyle w:val="a3"/>
        <w:ind w:leftChars="0" w:left="1680"/>
      </w:pPr>
      <w:r>
        <w:rPr>
          <w:rFonts w:hint="eastAsia"/>
        </w:rPr>
        <w:t>特例後継者の氏名を最大3名まで記載する。</w:t>
      </w:r>
    </w:p>
    <w:p w:rsidR="00BD2603" w:rsidRDefault="00BD2603" w:rsidP="00BD2603">
      <w:pPr>
        <w:pStyle w:val="a3"/>
        <w:ind w:leftChars="0" w:left="1680"/>
      </w:pPr>
      <w:r>
        <w:rPr>
          <w:rFonts w:hint="eastAsia"/>
        </w:rPr>
        <w:t>当初記載していた特例後継者への贈与を取りやめ、別の特例後継者に贈与したような場合には、認定申請時までに、または認定申請と同時に、改めて特例承継計画の変更確認申請書を提出し直すことが必要。</w:t>
      </w:r>
    </w:p>
    <w:p w:rsidR="00BD2603" w:rsidRDefault="00BD2603" w:rsidP="00BD2603">
      <w:pPr>
        <w:pStyle w:val="a3"/>
        <w:ind w:leftChars="0" w:left="1680"/>
      </w:pPr>
      <w:r>
        <w:rPr>
          <w:rFonts w:hint="eastAsia"/>
        </w:rPr>
        <w:t>特例後継者を複数名記載した場合に、記載した後継者から他の後継者に変更する場合も同様で、認定申請時に改めて特例承継計画の変更確認申請書を提出し直せばよいこととされている。</w:t>
      </w:r>
    </w:p>
    <w:p w:rsidR="00BD2603" w:rsidRDefault="00BD2603" w:rsidP="00BD2603">
      <w:pPr>
        <w:pStyle w:val="a3"/>
        <w:numPr>
          <w:ilvl w:val="3"/>
          <w:numId w:val="1"/>
        </w:numPr>
        <w:ind w:leftChars="0"/>
      </w:pPr>
      <w:r>
        <w:rPr>
          <w:rFonts w:hint="eastAsia"/>
        </w:rPr>
        <w:t>特例代表者が有する株式等を特例後継者が取得するまでの期間における経営の計画について</w:t>
      </w:r>
    </w:p>
    <w:p w:rsidR="00BD2603" w:rsidRDefault="00BD2603" w:rsidP="00BD2603">
      <w:pPr>
        <w:pStyle w:val="a3"/>
        <w:ind w:leftChars="0" w:left="1680"/>
      </w:pPr>
      <w:r>
        <w:rPr>
          <w:rFonts w:hint="eastAsia"/>
        </w:rPr>
        <w:t>「株式を承継する時期」には、贈与するおおむねの時期を〇年〇月～〇年〇月と記載する。「当該時期までの経営上の課題」には、会社の経営上の課題を洗い出したうえで記載する。</w:t>
      </w:r>
    </w:p>
    <w:p w:rsidR="00A401B4" w:rsidRDefault="00A401B4" w:rsidP="00BD2603">
      <w:pPr>
        <w:pStyle w:val="a3"/>
        <w:ind w:leftChars="0" w:left="1680"/>
      </w:pPr>
      <w:r>
        <w:rPr>
          <w:rFonts w:hint="eastAsia"/>
        </w:rPr>
        <w:t>「当該課題への対応」には、その課題を解決するための行動計画を記載する。これらは、先代経営者と後継者及び経営幹部SWOT分析、PPM分析などを用いて会社の現状を分析し、将来成功できると考えられる分野に経営資源を集中するところから明確していく。</w:t>
      </w:r>
    </w:p>
    <w:p w:rsidR="00A401B4" w:rsidRDefault="00A401B4" w:rsidP="00BD2603">
      <w:pPr>
        <w:pStyle w:val="a3"/>
        <w:ind w:leftChars="0" w:left="1680"/>
      </w:pPr>
      <w:r>
        <w:rPr>
          <w:rFonts w:hint="eastAsia"/>
        </w:rPr>
        <w:t>なお、この欄は株式等の贈与・相続等後に本計画を作成する場合や、すでに先代経営者が役員を退任している場合には、記載を省略できることとされている。</w:t>
      </w:r>
    </w:p>
    <w:p w:rsidR="00BD2603" w:rsidRDefault="00A401B4" w:rsidP="00BD2603">
      <w:pPr>
        <w:pStyle w:val="a3"/>
        <w:numPr>
          <w:ilvl w:val="3"/>
          <w:numId w:val="1"/>
        </w:numPr>
        <w:ind w:leftChars="0"/>
      </w:pPr>
      <w:r>
        <w:rPr>
          <w:rFonts w:hint="eastAsia"/>
        </w:rPr>
        <w:t>特例後継者が株式等を承継した後5年間の経営計画</w:t>
      </w:r>
    </w:p>
    <w:p w:rsidR="00A401B4" w:rsidRDefault="00A401B4" w:rsidP="00A401B4">
      <w:pPr>
        <w:pStyle w:val="a3"/>
        <w:ind w:leftChars="0" w:left="1680"/>
      </w:pPr>
      <w:r>
        <w:rPr>
          <w:rFonts w:hint="eastAsia"/>
        </w:rPr>
        <w:t>特例後継者が株式等を承継するまでに、会社としての経営改善計画または経営革新計画を策定し、それに基づいて承継計画の詳細を策定する。</w:t>
      </w:r>
    </w:p>
    <w:p w:rsidR="00A401B4" w:rsidRDefault="00A401B4" w:rsidP="00A401B4">
      <w:pPr>
        <w:pStyle w:val="a3"/>
        <w:ind w:leftChars="0" w:left="1680"/>
      </w:pPr>
      <w:r>
        <w:rPr>
          <w:rFonts w:hint="eastAsia"/>
        </w:rPr>
        <w:t>その積み重ねの中で、後継者が経営者としての経営力を磨き、長期経営計画を策定し実行していく。株式等を承継後の経営計画も策定することになるので、これを要約したものを数値目標も含めて記載する。</w:t>
      </w:r>
    </w:p>
    <w:p w:rsidR="00A401B4" w:rsidRDefault="00A401B4" w:rsidP="00BD2603">
      <w:pPr>
        <w:pStyle w:val="a3"/>
        <w:numPr>
          <w:ilvl w:val="3"/>
          <w:numId w:val="1"/>
        </w:numPr>
        <w:ind w:leftChars="0"/>
      </w:pPr>
      <w:r>
        <w:rPr>
          <w:rFonts w:hint="eastAsia"/>
        </w:rPr>
        <w:t>認定経営革新等支援機関による所見等</w:t>
      </w:r>
    </w:p>
    <w:p w:rsidR="00A401B4" w:rsidRDefault="00A401B4" w:rsidP="00A401B4">
      <w:pPr>
        <w:pStyle w:val="a3"/>
        <w:ind w:leftChars="0" w:left="1680"/>
      </w:pPr>
      <w:r>
        <w:rPr>
          <w:rFonts w:hint="eastAsia"/>
        </w:rPr>
        <w:t>これは別紙になっており、認定経営革新等支援機関(会計事務所等)に記載してもらうもの。</w:t>
      </w:r>
    </w:p>
    <w:p w:rsidR="00A401B4" w:rsidRDefault="00A401B4" w:rsidP="00BD2603">
      <w:pPr>
        <w:pStyle w:val="a3"/>
        <w:numPr>
          <w:ilvl w:val="3"/>
          <w:numId w:val="1"/>
        </w:numPr>
        <w:ind w:leftChars="0"/>
      </w:pPr>
      <w:r>
        <w:rPr>
          <w:rFonts w:hint="eastAsia"/>
        </w:rPr>
        <w:t>確認書</w:t>
      </w:r>
    </w:p>
    <w:p w:rsidR="00A401B4" w:rsidRDefault="00A401B4" w:rsidP="00A401B4">
      <w:pPr>
        <w:pStyle w:val="a3"/>
        <w:ind w:leftChars="0" w:left="1680"/>
      </w:pPr>
      <w:r>
        <w:rPr>
          <w:rFonts w:hint="eastAsia"/>
        </w:rPr>
        <w:t>特例承継計画の確認申請書を提出し、要件を満たしていると判断されると、都道府県知事が会社に対して「確認書」を交付する。要件を満たしていないと判断された場合には「確認しない旨の通知書」が送られてくる。</w:t>
      </w:r>
    </w:p>
    <w:p w:rsidR="00A401B4" w:rsidRDefault="00A401B4">
      <w:pPr>
        <w:widowControl/>
        <w:jc w:val="left"/>
      </w:pPr>
      <w:r>
        <w:br w:type="page"/>
      </w:r>
    </w:p>
    <w:p w:rsidR="00D93CE4" w:rsidRDefault="00956890" w:rsidP="00956890">
      <w:pPr>
        <w:pStyle w:val="a3"/>
        <w:numPr>
          <w:ilvl w:val="0"/>
          <w:numId w:val="1"/>
        </w:numPr>
        <w:ind w:leftChars="0"/>
      </w:pPr>
      <w:r>
        <w:rPr>
          <w:rFonts w:hint="eastAsia"/>
        </w:rPr>
        <w:lastRenderedPageBreak/>
        <w:t>納税猶予されていた税額を納税しなければならないケース</w:t>
      </w:r>
    </w:p>
    <w:p w:rsidR="00956890" w:rsidRDefault="00956890" w:rsidP="00956890">
      <w:pPr>
        <w:pStyle w:val="a3"/>
        <w:numPr>
          <w:ilvl w:val="1"/>
          <w:numId w:val="1"/>
        </w:numPr>
        <w:ind w:leftChars="0"/>
      </w:pPr>
      <w:r>
        <w:rPr>
          <w:rFonts w:hint="eastAsia"/>
        </w:rPr>
        <w:t>認定取り消しになる場合</w:t>
      </w:r>
    </w:p>
    <w:p w:rsidR="00956890" w:rsidRDefault="00956890" w:rsidP="00956890">
      <w:pPr>
        <w:pStyle w:val="a3"/>
        <w:numPr>
          <w:ilvl w:val="2"/>
          <w:numId w:val="1"/>
        </w:numPr>
        <w:ind w:leftChars="0"/>
      </w:pPr>
      <w:r>
        <w:rPr>
          <w:rFonts w:hint="eastAsia"/>
        </w:rPr>
        <w:t>都道府県知事への報告・税務署長への届け出を怠ったとき</w:t>
      </w:r>
    </w:p>
    <w:p w:rsidR="00956890" w:rsidRDefault="00956890" w:rsidP="00956890">
      <w:pPr>
        <w:pStyle w:val="a3"/>
        <w:numPr>
          <w:ilvl w:val="2"/>
          <w:numId w:val="1"/>
        </w:numPr>
        <w:ind w:leftChars="0"/>
      </w:pPr>
      <w:r>
        <w:rPr>
          <w:rFonts w:hint="eastAsia"/>
        </w:rPr>
        <w:t>後継者が代表者でなくなったとき(不慮の事故で代表者を務められなくなった場合などには代表者退任でも認定継続)</w:t>
      </w:r>
    </w:p>
    <w:p w:rsidR="00956890" w:rsidRDefault="00956890" w:rsidP="00956890">
      <w:pPr>
        <w:pStyle w:val="a3"/>
        <w:numPr>
          <w:ilvl w:val="2"/>
          <w:numId w:val="1"/>
        </w:numPr>
        <w:ind w:leftChars="0"/>
      </w:pPr>
      <w:r>
        <w:rPr>
          <w:rFonts w:hint="eastAsia"/>
        </w:rPr>
        <w:t>常時使用する従業員の数が8割を下回ったとき(特例事業承継税制では実質撤廃)</w:t>
      </w:r>
    </w:p>
    <w:p w:rsidR="00956890" w:rsidRDefault="00956890" w:rsidP="00956890">
      <w:pPr>
        <w:pStyle w:val="a3"/>
        <w:numPr>
          <w:ilvl w:val="2"/>
          <w:numId w:val="1"/>
        </w:numPr>
        <w:ind w:leftChars="0"/>
      </w:pPr>
      <w:r>
        <w:rPr>
          <w:rFonts w:hint="eastAsia"/>
        </w:rPr>
        <w:t>会社が倒産、解散したとき</w:t>
      </w:r>
    </w:p>
    <w:p w:rsidR="00956890" w:rsidRDefault="00956890" w:rsidP="00956890">
      <w:pPr>
        <w:pStyle w:val="a3"/>
        <w:numPr>
          <w:ilvl w:val="2"/>
          <w:numId w:val="1"/>
        </w:numPr>
        <w:ind w:leftChars="0"/>
      </w:pPr>
      <w:r>
        <w:rPr>
          <w:rFonts w:hint="eastAsia"/>
        </w:rPr>
        <w:t>納税猶予適用退社用株式を譲渡・贈与したとき(継続保有は保有している株式のうち納税猶予適用分のみでよい)</w:t>
      </w:r>
    </w:p>
    <w:p w:rsidR="00956890" w:rsidRDefault="00956890" w:rsidP="00956890">
      <w:pPr>
        <w:pStyle w:val="a3"/>
        <w:numPr>
          <w:ilvl w:val="2"/>
          <w:numId w:val="1"/>
        </w:numPr>
        <w:ind w:leftChars="0"/>
      </w:pPr>
      <w:r>
        <w:rPr>
          <w:rFonts w:hint="eastAsia"/>
        </w:rPr>
        <w:t>持株比率要件(濃く傾斜と同族関係者で総株主等議決権数の50％超を保有し、かつ、同族関係者の中に後継者意外に保有株式数の上位者がいないこと)を満たさなくなったとき</w:t>
      </w:r>
    </w:p>
    <w:p w:rsidR="00956890" w:rsidRDefault="00956890" w:rsidP="00956890">
      <w:pPr>
        <w:pStyle w:val="a3"/>
        <w:numPr>
          <w:ilvl w:val="2"/>
          <w:numId w:val="1"/>
        </w:numPr>
        <w:ind w:leftChars="0"/>
      </w:pPr>
      <w:r>
        <w:rPr>
          <w:rFonts w:hint="eastAsia"/>
        </w:rPr>
        <w:t>適用対象外会社(上場会社等または風俗営業会社)に該当したとき(上場会社なければ大会社に成長した場合も認定継続)</w:t>
      </w:r>
    </w:p>
    <w:p w:rsidR="00956890" w:rsidRDefault="00956890" w:rsidP="00956890">
      <w:pPr>
        <w:pStyle w:val="a3"/>
        <w:numPr>
          <w:ilvl w:val="2"/>
          <w:numId w:val="1"/>
        </w:numPr>
        <w:ind w:leftChars="0"/>
      </w:pPr>
      <w:r>
        <w:rPr>
          <w:rFonts w:hint="eastAsia"/>
        </w:rPr>
        <w:t>資産保有型会社または資産運用型会社となったとき(事業継続期間経過後についてもこれらに該当すると猶予打ち切り)</w:t>
      </w:r>
    </w:p>
    <w:p w:rsidR="00956890" w:rsidRDefault="00956890" w:rsidP="00956890">
      <w:pPr>
        <w:pStyle w:val="a3"/>
        <w:numPr>
          <w:ilvl w:val="2"/>
          <w:numId w:val="1"/>
        </w:numPr>
        <w:ind w:leftChars="0"/>
      </w:pPr>
      <w:r>
        <w:rPr>
          <w:rFonts w:hint="eastAsia"/>
        </w:rPr>
        <w:t>減資を行った場合(欠損填補目的及び全額を準備金とする場合を除く。資本準備金の取り崩しについても同様)</w:t>
      </w:r>
    </w:p>
    <w:p w:rsidR="00956890" w:rsidRDefault="00956890" w:rsidP="00956890">
      <w:pPr>
        <w:pStyle w:val="a3"/>
        <w:numPr>
          <w:ilvl w:val="2"/>
          <w:numId w:val="1"/>
        </w:numPr>
        <w:ind w:leftChars="0"/>
      </w:pPr>
      <w:r>
        <w:rPr>
          <w:rFonts w:hint="eastAsia"/>
        </w:rPr>
        <w:t>組織変更(株式会社から合同会社への変更等)の際に株式以外の財産の交付があったとき</w:t>
      </w:r>
    </w:p>
    <w:p w:rsidR="00956890" w:rsidRDefault="00956890" w:rsidP="00956890">
      <w:pPr>
        <w:pStyle w:val="a3"/>
        <w:numPr>
          <w:ilvl w:val="2"/>
          <w:numId w:val="1"/>
        </w:numPr>
        <w:ind w:leftChars="0"/>
      </w:pPr>
      <w:r>
        <w:rPr>
          <w:rFonts w:hint="eastAsia"/>
        </w:rPr>
        <w:t>総収入金額が零になった場合</w:t>
      </w:r>
    </w:p>
    <w:p w:rsidR="00956890" w:rsidRDefault="00956890" w:rsidP="00956890">
      <w:pPr>
        <w:pStyle w:val="a3"/>
        <w:numPr>
          <w:ilvl w:val="2"/>
          <w:numId w:val="1"/>
        </w:numPr>
        <w:ind w:leftChars="0"/>
      </w:pPr>
      <w:r>
        <w:rPr>
          <w:rFonts w:hint="eastAsia"/>
        </w:rPr>
        <w:t>先代経営者が代表者に復帰したとき</w:t>
      </w:r>
    </w:p>
    <w:p w:rsidR="00956890" w:rsidRDefault="00956890" w:rsidP="00956890">
      <w:pPr>
        <w:pStyle w:val="a3"/>
        <w:numPr>
          <w:ilvl w:val="1"/>
          <w:numId w:val="1"/>
        </w:numPr>
        <w:ind w:leftChars="0"/>
      </w:pPr>
      <w:r>
        <w:rPr>
          <w:rFonts w:hint="eastAsia"/>
        </w:rPr>
        <w:t>売却・合併による消滅、解散時の減免制度</w:t>
      </w:r>
    </w:p>
    <w:p w:rsidR="00956890" w:rsidRDefault="00956890" w:rsidP="00956890">
      <w:pPr>
        <w:pStyle w:val="a3"/>
        <w:numPr>
          <w:ilvl w:val="2"/>
          <w:numId w:val="1"/>
        </w:numPr>
        <w:ind w:leftChars="0"/>
      </w:pPr>
      <w:r>
        <w:rPr>
          <w:rFonts w:hint="eastAsia"/>
        </w:rPr>
        <w:t>売却、合併による消滅、解散</w:t>
      </w:r>
      <w:r>
        <w:br/>
      </w:r>
      <w:r>
        <w:rPr>
          <w:rFonts w:hint="eastAsia"/>
        </w:rPr>
        <w:t>一般事業承継税制でも</w:t>
      </w:r>
      <w:r w:rsidR="00226D36">
        <w:rPr>
          <w:rFonts w:hint="eastAsia"/>
        </w:rPr>
        <w:t>経営承継期間経過後に会社が破産・清算した場合には猶予税額が全額免除される。また、民事再生や会社更生の際にその時点の評価額で相続税を再計算し、超える部分の猶予税額も免除される。</w:t>
      </w:r>
      <w:r w:rsidR="00226D36">
        <w:br/>
      </w:r>
      <w:r w:rsidR="00226D36">
        <w:rPr>
          <w:rFonts w:hint="eastAsia"/>
        </w:rPr>
        <w:t>特例事業承継税制ではさらに、「経営環境の変化を示す一定の要件」を満たす場合には、売却、合併による消滅、解散の場合においても同様の制度が導入されている。</w:t>
      </w:r>
    </w:p>
    <w:p w:rsidR="00226D36" w:rsidRDefault="00226D36" w:rsidP="00956890">
      <w:pPr>
        <w:pStyle w:val="a3"/>
        <w:numPr>
          <w:ilvl w:val="2"/>
          <w:numId w:val="1"/>
        </w:numPr>
        <w:ind w:leftChars="0"/>
      </w:pPr>
      <w:r>
        <w:rPr>
          <w:rFonts w:hint="eastAsia"/>
        </w:rPr>
        <w:t>譲渡・合併の場合は50％が下限</w:t>
      </w:r>
    </w:p>
    <w:p w:rsidR="00226D36" w:rsidRDefault="00226D36" w:rsidP="00226D36">
      <w:pPr>
        <w:pStyle w:val="a3"/>
        <w:ind w:leftChars="0" w:left="1260"/>
      </w:pPr>
      <w:r>
        <w:rPr>
          <w:rFonts w:hint="eastAsia"/>
        </w:rPr>
        <w:t>解散の場合には、その時点の相続税評価額で計算されるが、譲渡又は合併の場合は譲渡・合併の対価で計算し、その時点の相続税評価額の50％が下限となる。また、これらの時点から過去5年間の配当や過大給与等は、税額に加算しなければならない。ただし2年後に、譲渡等した事業が継続され、雇用が半数</w:t>
      </w:r>
      <w:r>
        <w:rPr>
          <w:rFonts w:hint="eastAsia"/>
        </w:rPr>
        <w:lastRenderedPageBreak/>
        <w:t>以上維持されている場合には、残額が免除される。</w:t>
      </w:r>
    </w:p>
    <w:p w:rsidR="00226D36" w:rsidRDefault="00226D36" w:rsidP="00956890">
      <w:pPr>
        <w:pStyle w:val="a3"/>
        <w:numPr>
          <w:ilvl w:val="2"/>
          <w:numId w:val="1"/>
        </w:numPr>
        <w:ind w:leftChars="0"/>
      </w:pPr>
      <w:r>
        <w:rPr>
          <w:rFonts w:hint="eastAsia"/>
        </w:rPr>
        <w:t>経営環境の変化を示す一定の要件</w:t>
      </w:r>
    </w:p>
    <w:p w:rsidR="00226D36" w:rsidRDefault="00226D36" w:rsidP="00226D36">
      <w:pPr>
        <w:pStyle w:val="a3"/>
        <w:ind w:leftChars="0" w:left="1260"/>
      </w:pPr>
      <w:r>
        <w:rPr>
          <w:rFonts w:hint="eastAsia"/>
        </w:rPr>
        <w:t>経営環境の変化を示す一定の要件とは、特例認定承継会社が次のいずれか(解散をした場合にあっては、(オ)を除く)に該当する場合をいう。</w:t>
      </w:r>
    </w:p>
    <w:p w:rsidR="00D93CE4" w:rsidRDefault="00226D36" w:rsidP="00226D36">
      <w:pPr>
        <w:pStyle w:val="a3"/>
        <w:numPr>
          <w:ilvl w:val="3"/>
          <w:numId w:val="1"/>
        </w:numPr>
        <w:ind w:leftChars="0"/>
      </w:pPr>
      <w:r>
        <w:rPr>
          <w:rFonts w:hint="eastAsia"/>
        </w:rPr>
        <w:t>前期までの3年間のうち2年以上赤字</w:t>
      </w:r>
    </w:p>
    <w:p w:rsidR="00226D36" w:rsidRDefault="00226D36" w:rsidP="00226D36">
      <w:pPr>
        <w:pStyle w:val="a3"/>
        <w:numPr>
          <w:ilvl w:val="3"/>
          <w:numId w:val="1"/>
        </w:numPr>
        <w:ind w:leftChars="0"/>
      </w:pPr>
      <w:r>
        <w:rPr>
          <w:rFonts w:hint="eastAsia"/>
        </w:rPr>
        <w:t>前期までの直近3年間のうち2年以上、売上高が前年割れ</w:t>
      </w:r>
    </w:p>
    <w:p w:rsidR="00226D36" w:rsidRDefault="00226D36" w:rsidP="00226D36">
      <w:pPr>
        <w:pStyle w:val="a3"/>
        <w:numPr>
          <w:ilvl w:val="3"/>
          <w:numId w:val="1"/>
        </w:numPr>
        <w:ind w:leftChars="0"/>
      </w:pPr>
      <w:r>
        <w:rPr>
          <w:rFonts w:hint="eastAsia"/>
        </w:rPr>
        <w:t>前期末の有利子負債の額が、前期売上高の6ヶ月分に相当する額以上</w:t>
      </w:r>
    </w:p>
    <w:p w:rsidR="00226D36" w:rsidRDefault="00226D36" w:rsidP="00226D36">
      <w:pPr>
        <w:pStyle w:val="a3"/>
        <w:numPr>
          <w:ilvl w:val="3"/>
          <w:numId w:val="1"/>
        </w:numPr>
        <w:ind w:leftChars="0"/>
      </w:pPr>
      <w:r>
        <w:rPr>
          <w:rFonts w:hint="eastAsia"/>
        </w:rPr>
        <w:t>自社の事業が属する業種の上場会社の株価がその前年1年間の平均より下落。</w:t>
      </w:r>
    </w:p>
    <w:p w:rsidR="00226D36" w:rsidRDefault="00226D36" w:rsidP="00226D36">
      <w:pPr>
        <w:pStyle w:val="a3"/>
        <w:numPr>
          <w:ilvl w:val="3"/>
          <w:numId w:val="1"/>
        </w:numPr>
        <w:ind w:leftChars="0"/>
      </w:pPr>
      <w:r>
        <w:rPr>
          <w:rFonts w:hint="eastAsia"/>
        </w:rPr>
        <w:t>特例後継者が経営を継続しない特段の理由がある</w:t>
      </w:r>
    </w:p>
    <w:p w:rsidR="000358B2" w:rsidRDefault="000358B2" w:rsidP="000358B2">
      <w:pPr>
        <w:ind w:left="1260"/>
      </w:pPr>
      <w:r w:rsidRPr="000358B2">
        <w:rPr>
          <w:rFonts w:hint="eastAsia"/>
          <w:noProof/>
          <w:bdr w:val="single" w:sz="4" w:space="0" w:color="auto"/>
        </w:rPr>
        <w:drawing>
          <wp:inline distT="0" distB="0" distL="0" distR="0">
            <wp:extent cx="5400040" cy="2014220"/>
            <wp:effectExtent l="0" t="0" r="0"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014220"/>
                    </a:xfrm>
                    <a:prstGeom prst="rect">
                      <a:avLst/>
                    </a:prstGeom>
                    <a:noFill/>
                    <a:ln>
                      <a:noFill/>
                    </a:ln>
                  </pic:spPr>
                </pic:pic>
              </a:graphicData>
            </a:graphic>
          </wp:inline>
        </w:drawing>
      </w:r>
    </w:p>
    <w:p w:rsidR="000358B2" w:rsidRDefault="000358B2">
      <w:pPr>
        <w:widowControl/>
        <w:jc w:val="left"/>
      </w:pPr>
      <w:r>
        <w:br w:type="page"/>
      </w:r>
    </w:p>
    <w:p w:rsidR="00226D36" w:rsidRDefault="000358B2" w:rsidP="000358B2">
      <w:pPr>
        <w:pStyle w:val="a3"/>
        <w:numPr>
          <w:ilvl w:val="0"/>
          <w:numId w:val="1"/>
        </w:numPr>
        <w:ind w:leftChars="0"/>
      </w:pPr>
      <w:r>
        <w:rPr>
          <w:rFonts w:hint="eastAsia"/>
        </w:rPr>
        <w:lastRenderedPageBreak/>
        <w:t>特例の適用を受ける場合の期限等</w:t>
      </w:r>
    </w:p>
    <w:p w:rsidR="00FD58F4" w:rsidRDefault="00B5514B" w:rsidP="00B5514B">
      <w:pPr>
        <w:pStyle w:val="a3"/>
        <w:ind w:leftChars="0" w:left="420"/>
      </w:pPr>
      <w:r w:rsidRPr="00B5514B">
        <w:rPr>
          <w:rFonts w:hint="eastAsia"/>
          <w:noProof/>
          <w:bdr w:val="single" w:sz="4" w:space="0" w:color="auto"/>
        </w:rPr>
        <w:drawing>
          <wp:inline distT="0" distB="0" distL="0" distR="0">
            <wp:extent cx="5400040" cy="34385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438525"/>
                    </a:xfrm>
                    <a:prstGeom prst="rect">
                      <a:avLst/>
                    </a:prstGeom>
                    <a:noFill/>
                    <a:ln>
                      <a:noFill/>
                    </a:ln>
                  </pic:spPr>
                </pic:pic>
              </a:graphicData>
            </a:graphic>
          </wp:inline>
        </w:drawing>
      </w:r>
    </w:p>
    <w:p w:rsidR="00B5514B" w:rsidRDefault="00B5514B" w:rsidP="00B5514B">
      <w:pPr>
        <w:pStyle w:val="a3"/>
        <w:numPr>
          <w:ilvl w:val="1"/>
          <w:numId w:val="1"/>
        </w:numPr>
        <w:ind w:leftChars="0"/>
      </w:pPr>
      <w:r>
        <w:rPr>
          <w:rFonts w:hint="eastAsia"/>
        </w:rPr>
        <w:t>都道府県庁への「特例承継計画」</w:t>
      </w:r>
    </w:p>
    <w:p w:rsidR="00B5514B" w:rsidRDefault="00B5514B" w:rsidP="00B5514B">
      <w:pPr>
        <w:pStyle w:val="a3"/>
        <w:numPr>
          <w:ilvl w:val="2"/>
          <w:numId w:val="1"/>
        </w:numPr>
        <w:ind w:leftChars="0"/>
      </w:pPr>
      <w:r>
        <w:rPr>
          <w:rFonts w:hint="eastAsia"/>
        </w:rPr>
        <w:t>平成35年3月31日が提出期限</w:t>
      </w:r>
    </w:p>
    <w:p w:rsidR="00B5514B" w:rsidRDefault="00B5514B" w:rsidP="00B5514B">
      <w:pPr>
        <w:pStyle w:val="a3"/>
        <w:ind w:leftChars="0" w:left="1260"/>
      </w:pPr>
      <w:r>
        <w:rPr>
          <w:rFonts w:hint="eastAsia"/>
        </w:rPr>
        <w:t>非上場株式等の特例納税猶予の適用を受けるには、原則として平成35年3月31日までに、会社が認定経営革新等支援機関の助言を受けて作成した「特例承継計画」を都道府県庁に提出する。</w:t>
      </w:r>
    </w:p>
    <w:p w:rsidR="00B5514B" w:rsidRDefault="00B5514B" w:rsidP="00B5514B">
      <w:pPr>
        <w:pStyle w:val="a3"/>
        <w:numPr>
          <w:ilvl w:val="2"/>
          <w:numId w:val="1"/>
        </w:numPr>
        <w:ind w:leftChars="0"/>
      </w:pPr>
      <w:r>
        <w:rPr>
          <w:rFonts w:hint="eastAsia"/>
        </w:rPr>
        <w:t>計画未提出で贈与した場合</w:t>
      </w:r>
    </w:p>
    <w:p w:rsidR="00B5514B" w:rsidRDefault="00B5514B" w:rsidP="00B5514B">
      <w:pPr>
        <w:pStyle w:val="a3"/>
        <w:numPr>
          <w:ilvl w:val="3"/>
          <w:numId w:val="1"/>
        </w:numPr>
        <w:ind w:leftChars="0"/>
      </w:pPr>
      <w:r>
        <w:rPr>
          <w:rFonts w:hint="eastAsia"/>
        </w:rPr>
        <w:t>平成35年3月31日までの贈与</w:t>
      </w:r>
    </w:p>
    <w:p w:rsidR="00B5514B" w:rsidRDefault="00B5514B" w:rsidP="00B5514B">
      <w:pPr>
        <w:pStyle w:val="a3"/>
        <w:ind w:leftChars="0" w:left="1680"/>
      </w:pPr>
      <w:r>
        <w:rPr>
          <w:rFonts w:hint="eastAsia"/>
        </w:rPr>
        <w:t>平成30年1月1日から平成35年3月31日までの期間は、非上場株式等を贈与した後、認定手続きと同時に「特例承継計画」を提出することで特例の適用が認められる。</w:t>
      </w:r>
    </w:p>
    <w:p w:rsidR="00B5514B" w:rsidRDefault="00B5514B" w:rsidP="00B5514B">
      <w:pPr>
        <w:pStyle w:val="a3"/>
        <w:numPr>
          <w:ilvl w:val="3"/>
          <w:numId w:val="1"/>
        </w:numPr>
        <w:ind w:leftChars="0"/>
      </w:pPr>
      <w:r>
        <w:rPr>
          <w:rFonts w:hint="eastAsia"/>
        </w:rPr>
        <w:t>平成35年4月1日以後の贈与</w:t>
      </w:r>
    </w:p>
    <w:p w:rsidR="00B5514B" w:rsidRDefault="00B5514B" w:rsidP="00B5514B">
      <w:pPr>
        <w:pStyle w:val="a3"/>
        <w:ind w:leftChars="0" w:left="1680"/>
      </w:pPr>
      <w:r>
        <w:rPr>
          <w:rFonts w:hint="eastAsia"/>
        </w:rPr>
        <w:t>「特例承継計画」を提出せずに提出期間が過ぎてしまった場合の贈与については、適用のための要件を満たしていても、特例事業承継税制ではない一般事業承継税制の適用となる。</w:t>
      </w:r>
      <w:r>
        <w:br/>
      </w:r>
      <w:r>
        <w:rPr>
          <w:rFonts w:hint="eastAsia"/>
        </w:rPr>
        <w:t>一般事業承継税制の場合は、株主等議決権数の3分の2までの株式等について納税猶予を受けることができる。</w:t>
      </w:r>
    </w:p>
    <w:p w:rsidR="00B5514B" w:rsidRDefault="00B5514B" w:rsidP="00B5514B">
      <w:pPr>
        <w:pStyle w:val="a3"/>
        <w:numPr>
          <w:ilvl w:val="2"/>
          <w:numId w:val="1"/>
        </w:numPr>
        <w:ind w:leftChars="0"/>
      </w:pPr>
      <w:r>
        <w:rPr>
          <w:rFonts w:hint="eastAsia"/>
        </w:rPr>
        <w:t>計画未提出で相続が発生した場合</w:t>
      </w:r>
    </w:p>
    <w:p w:rsidR="00B5514B" w:rsidRDefault="00B5514B" w:rsidP="00B5514B">
      <w:pPr>
        <w:pStyle w:val="a3"/>
        <w:numPr>
          <w:ilvl w:val="3"/>
          <w:numId w:val="1"/>
        </w:numPr>
        <w:ind w:leftChars="0"/>
      </w:pPr>
      <w:r>
        <w:rPr>
          <w:rFonts w:hint="eastAsia"/>
        </w:rPr>
        <w:t>平成35年3月31日までの相続</w:t>
      </w:r>
    </w:p>
    <w:p w:rsidR="00B5514B" w:rsidRDefault="00B5514B" w:rsidP="00B5514B">
      <w:pPr>
        <w:pStyle w:val="a3"/>
        <w:ind w:leftChars="0" w:left="1680"/>
      </w:pPr>
      <w:r>
        <w:rPr>
          <w:rFonts w:hint="eastAsia"/>
        </w:rPr>
        <w:lastRenderedPageBreak/>
        <w:t>「特例承継計画」を提出する前であっても、平成30年1月1日から平成35年3月31日までの期間に相続が発生した場合は、死亡後の認定申請時に「特例承継計画」を提出することによって特例事業承継税制の適用を受けることができる。</w:t>
      </w:r>
    </w:p>
    <w:p w:rsidR="00B5514B" w:rsidRDefault="00B5514B" w:rsidP="00B5514B">
      <w:pPr>
        <w:pStyle w:val="a3"/>
        <w:numPr>
          <w:ilvl w:val="3"/>
          <w:numId w:val="1"/>
        </w:numPr>
        <w:ind w:leftChars="0"/>
      </w:pPr>
      <w:r>
        <w:rPr>
          <w:rFonts w:hint="eastAsia"/>
        </w:rPr>
        <w:t>平成35年4月1日以後の相続</w:t>
      </w:r>
    </w:p>
    <w:p w:rsidR="00B5514B" w:rsidRDefault="00B5514B" w:rsidP="00B5514B">
      <w:pPr>
        <w:pStyle w:val="a3"/>
        <w:ind w:leftChars="0" w:left="1680"/>
      </w:pPr>
      <w:r>
        <w:rPr>
          <w:rFonts w:hint="eastAsia"/>
        </w:rPr>
        <w:t>平成35年3月31日までに「特例承継計画」を提出しなかった場合、平成35年4月1日以後の相続等では、特例事業承継税制の適用を受けることが出来ない。この場合、適用要件を満たしていれば、一般事業承継税制の適用を受けることが出来る。ただし、相続等の場合には対象となる株式等は総株主等議決権数の3分の2までで、その評価額の80％に対応する相続税の身が猶予の対象。残りの部分に対応する相続税額は原則として相続税の申告期限に納付しなければならない。</w:t>
      </w:r>
    </w:p>
    <w:p w:rsidR="00E07493" w:rsidRDefault="00E07493" w:rsidP="00E07493">
      <w:pPr>
        <w:pStyle w:val="a3"/>
        <w:numPr>
          <w:ilvl w:val="1"/>
          <w:numId w:val="1"/>
        </w:numPr>
        <w:ind w:leftChars="0"/>
      </w:pPr>
      <w:r>
        <w:rPr>
          <w:rFonts w:hint="eastAsia"/>
        </w:rPr>
        <w:t>「特例承継計画」提出後の贈与等</w:t>
      </w:r>
    </w:p>
    <w:p w:rsidR="00E07493" w:rsidRDefault="00E07493" w:rsidP="00E07493">
      <w:pPr>
        <w:pStyle w:val="a3"/>
        <w:numPr>
          <w:ilvl w:val="2"/>
          <w:numId w:val="1"/>
        </w:numPr>
        <w:ind w:leftChars="0"/>
      </w:pPr>
      <w:r>
        <w:rPr>
          <w:rFonts w:hint="eastAsia"/>
        </w:rPr>
        <w:t>平成39年12月31日が贈与期限</w:t>
      </w:r>
    </w:p>
    <w:p w:rsidR="00E07493" w:rsidRDefault="00E07493" w:rsidP="00E07493">
      <w:pPr>
        <w:pStyle w:val="a3"/>
        <w:ind w:leftChars="0" w:left="1260"/>
      </w:pPr>
      <w:r>
        <w:rPr>
          <w:rFonts w:hint="eastAsia"/>
        </w:rPr>
        <w:t>平成35年3月31日までに「特例承継計画」を提出した場合には、特例事業承継税制の適用を受ける権利を手に入れたことになる。ただし、平成39年12月31日までが贈与期限。平成39年12月31日までに非上場株式等を特例後継者に贈与しなければ、特例事業承継税制適用の権利は失われる。</w:t>
      </w:r>
    </w:p>
    <w:p w:rsidR="00E07493" w:rsidRDefault="00E07493" w:rsidP="00E07493">
      <w:pPr>
        <w:pStyle w:val="a3"/>
        <w:numPr>
          <w:ilvl w:val="2"/>
          <w:numId w:val="1"/>
        </w:numPr>
        <w:ind w:leftChars="0"/>
      </w:pPr>
      <w:r>
        <w:rPr>
          <w:rFonts w:hint="eastAsia"/>
        </w:rPr>
        <w:t>贈与前の相続は相続税の納税猶予</w:t>
      </w:r>
    </w:p>
    <w:p w:rsidR="00E07493" w:rsidRDefault="00E07493" w:rsidP="00E07493">
      <w:pPr>
        <w:pStyle w:val="a3"/>
        <w:ind w:leftChars="0" w:left="1260"/>
      </w:pPr>
      <w:r>
        <w:rPr>
          <w:rFonts w:hint="eastAsia"/>
        </w:rPr>
        <w:t>平成35年3月31日までに「特例承継計画」を提出した前提で、平成35年4月1日から平成39年12月31日までの間に先代経営者が後継者に非上場株式等を贈与する前に相続が発生した場合には、特例事業承継税制による相続税の納税猶予適用を受けることができる。</w:t>
      </w:r>
    </w:p>
    <w:p w:rsidR="00E07493" w:rsidRDefault="00E07493" w:rsidP="00E07493">
      <w:pPr>
        <w:pStyle w:val="a3"/>
        <w:numPr>
          <w:ilvl w:val="2"/>
          <w:numId w:val="1"/>
        </w:numPr>
        <w:ind w:leftChars="0"/>
      </w:pPr>
      <w:r>
        <w:rPr>
          <w:rFonts w:hint="eastAsia"/>
        </w:rPr>
        <w:t>贈与に対応する相続にも特例適用</w:t>
      </w:r>
    </w:p>
    <w:p w:rsidR="00E07493" w:rsidRDefault="00E07493" w:rsidP="00E07493">
      <w:pPr>
        <w:pStyle w:val="a3"/>
        <w:ind w:leftChars="0" w:left="1260"/>
      </w:pPr>
      <w:r>
        <w:rPr>
          <w:rFonts w:hint="eastAsia"/>
        </w:rPr>
        <w:t>平成35年3月31日までに計画を提出し、平成39年12月31日までに非上場株式等の贈与を受けて特例事業承継税制の適用を受けたとする。この場合、贈与した先代経営者に相続が発生した際は、贈与時点の非上場株式等の評価額が相続財産とみなされて相続税が課税されるが、贈与税から相続税の納税猶予への切り替え確認を受けると、その非上場株式等に対応する相続税額の全額が納税猶予される。相続が20年先であろうと30年先であろうと、このことに変わりはない。</w:t>
      </w:r>
    </w:p>
    <w:p w:rsidR="00E07493" w:rsidRDefault="00E07493" w:rsidP="00E07493">
      <w:pPr>
        <w:pStyle w:val="a3"/>
        <w:numPr>
          <w:ilvl w:val="1"/>
          <w:numId w:val="1"/>
        </w:numPr>
        <w:ind w:leftChars="0"/>
      </w:pPr>
      <w:r>
        <w:rPr>
          <w:rFonts w:hint="eastAsia"/>
        </w:rPr>
        <w:t>納税猶予適用後の手続き等</w:t>
      </w:r>
    </w:p>
    <w:p w:rsidR="00E07493" w:rsidRDefault="00E07493" w:rsidP="00E07493">
      <w:pPr>
        <w:pStyle w:val="a3"/>
        <w:numPr>
          <w:ilvl w:val="2"/>
          <w:numId w:val="1"/>
        </w:numPr>
        <w:ind w:leftChars="0"/>
      </w:pPr>
      <w:r>
        <w:rPr>
          <w:rFonts w:hint="eastAsia"/>
        </w:rPr>
        <w:t>報告義務と届出義務</w:t>
      </w:r>
    </w:p>
    <w:p w:rsidR="00E07493" w:rsidRDefault="00E07493" w:rsidP="00E07493">
      <w:pPr>
        <w:pStyle w:val="a3"/>
        <w:ind w:leftChars="0" w:left="1260"/>
      </w:pPr>
      <w:r>
        <w:rPr>
          <w:rFonts w:hint="eastAsia"/>
        </w:rPr>
        <w:t>納税猶予の適用を開始して5年間は、1年ごとに都道府県庁に報告書を、税務署に届出書を提出しなければならない。また、5年経過後は3年ごとに1回、税務署への届けが必要。これらを失念するとその時点で納税猶予は取り消さ</w:t>
      </w:r>
      <w:r>
        <w:rPr>
          <w:rFonts w:hint="eastAsia"/>
        </w:rPr>
        <w:lastRenderedPageBreak/>
        <w:t>れ、猶予税額と経過期間に対応する利子税の納付が必要となる。</w:t>
      </w:r>
    </w:p>
    <w:p w:rsidR="00E07493" w:rsidRDefault="00E07493" w:rsidP="00E07493">
      <w:pPr>
        <w:pStyle w:val="a3"/>
        <w:numPr>
          <w:ilvl w:val="2"/>
          <w:numId w:val="1"/>
        </w:numPr>
        <w:ind w:leftChars="0"/>
      </w:pPr>
      <w:r>
        <w:rPr>
          <w:rFonts w:hint="eastAsia"/>
        </w:rPr>
        <w:t>先代経営者からの贈与と同じ年に他の者からの贈与を受けると簡単</w:t>
      </w:r>
    </w:p>
    <w:p w:rsidR="00E07493" w:rsidRDefault="00E07493" w:rsidP="00E07493">
      <w:pPr>
        <w:pStyle w:val="a3"/>
        <w:ind w:leftChars="0" w:left="1260"/>
      </w:pPr>
      <w:r>
        <w:rPr>
          <w:rFonts w:hint="eastAsia"/>
        </w:rPr>
        <w:t>先代経営者から贈与を受けた後継者は、贈与を受けた年の翌年1月15日までに都道府県庁に対する認定手続きをして、認定書の交付を受けることが必要。そのうえで、その認定書を添付して納税猶予を受けるための贈与税の申告書を贈与を受けた年の翌年3月15日までに提出する。先代経営者からの贈与と同じ年に先代経営者以外の者から株式の贈与を受けた場合は、同時に申告できますが、</w:t>
      </w:r>
      <w:r w:rsidR="00FF3356">
        <w:rPr>
          <w:rFonts w:hint="eastAsia"/>
        </w:rPr>
        <w:t>先代経営者から贈与を受けた年の翌年以降に贈与を受けると、都道府県庁に対する認定手続きが別途必要になる。この点にも注意が必要である。</w:t>
      </w:r>
    </w:p>
    <w:p w:rsidR="00FF3356" w:rsidRDefault="00FF3356" w:rsidP="00FF3356"/>
    <w:p w:rsidR="00865CD6" w:rsidRDefault="00FF3356" w:rsidP="00FF3356">
      <w:r>
        <w:rPr>
          <w:rFonts w:hint="eastAsia"/>
        </w:rPr>
        <w:t>【出典】</w:t>
      </w:r>
    </w:p>
    <w:p w:rsidR="00FF3356" w:rsidRDefault="00FF3356" w:rsidP="00FF3356">
      <w:r>
        <w:rPr>
          <w:rFonts w:hint="eastAsia"/>
        </w:rPr>
        <w:t>TKC出版2018，特例事業承継税制のポイント</w:t>
      </w:r>
    </w:p>
    <w:p w:rsidR="00FF3356" w:rsidRDefault="00FF3356" w:rsidP="00FF3356">
      <w:r>
        <w:rPr>
          <w:rFonts w:hint="eastAsia"/>
        </w:rPr>
        <w:t>国税庁，非上場株式等についての贈与税・相続税の納税猶予・免除(事業承継税制)のあらまし</w:t>
      </w:r>
    </w:p>
    <w:p w:rsidR="00FF3356" w:rsidRDefault="00FF3356" w:rsidP="00FF3356">
      <w:r>
        <w:rPr>
          <w:rFonts w:hint="eastAsia"/>
        </w:rPr>
        <w:t>中小企業庁，</w:t>
      </w:r>
      <w:r w:rsidRPr="00FF3356">
        <w:rPr>
          <w:rFonts w:hint="eastAsia"/>
        </w:rPr>
        <w:t>h</w:t>
      </w:r>
      <w:r w:rsidRPr="00FF3356">
        <w:t>ttp://www.chusho.meti.go.jp/zaimu/shoukei/2018/180402shoukeizeisei.htm</w:t>
      </w:r>
    </w:p>
    <w:p w:rsidR="00FF3356" w:rsidRDefault="00FF3356" w:rsidP="00FF3356">
      <w:r>
        <w:rPr>
          <w:rFonts w:hint="eastAsia"/>
        </w:rPr>
        <w:t>中小企業庁，事業承継の際の相続税・贈与税の納税猶予及び免除制度</w:t>
      </w:r>
    </w:p>
    <w:p w:rsidR="00FF3356" w:rsidRDefault="00FF3356" w:rsidP="00FF3356">
      <w:r>
        <w:rPr>
          <w:rFonts w:hint="eastAsia"/>
        </w:rPr>
        <w:t>経済産業省，</w:t>
      </w:r>
      <w:r w:rsidRPr="00FF3356">
        <w:t>http://www.meti.go.jp/main/zeisei/zeisei_fy2018/zeisei_k/index.html</w:t>
      </w:r>
    </w:p>
    <w:p w:rsidR="00FF3356" w:rsidRPr="00FF3356" w:rsidRDefault="00FF3356" w:rsidP="00FF3356"/>
    <w:sectPr w:rsidR="00FF3356" w:rsidRPr="00FF3356" w:rsidSect="003C1AA0">
      <w:footerReference w:type="default" r:id="rId13"/>
      <w:footerReference w:type="first" r:id="rId14"/>
      <w:pgSz w:w="11906" w:h="16838"/>
      <w:pgMar w:top="1985" w:right="1701" w:bottom="1701" w:left="1701" w:header="794" w:footer="96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EB2" w:rsidRDefault="007C4EB2" w:rsidP="007C1414">
      <w:r>
        <w:separator/>
      </w:r>
    </w:p>
  </w:endnote>
  <w:endnote w:type="continuationSeparator" w:id="0">
    <w:p w:rsidR="007C4EB2" w:rsidRDefault="007C4EB2" w:rsidP="007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193703"/>
      <w:docPartObj>
        <w:docPartGallery w:val="Page Numbers (Bottom of Page)"/>
        <w:docPartUnique/>
      </w:docPartObj>
    </w:sdtPr>
    <w:sdtEndPr/>
    <w:sdtContent>
      <w:p w:rsidR="00E07493" w:rsidRDefault="00E07493">
        <w:pPr>
          <w:pStyle w:val="a6"/>
          <w:jc w:val="right"/>
        </w:pPr>
        <w:r>
          <w:fldChar w:fldCharType="begin"/>
        </w:r>
        <w:r>
          <w:instrText>PAGE   \* MERGEFORMAT</w:instrText>
        </w:r>
        <w:r>
          <w:fldChar w:fldCharType="separate"/>
        </w:r>
        <w:r>
          <w:rPr>
            <w:lang w:val="ja-JP"/>
          </w:rPr>
          <w:t>2</w:t>
        </w:r>
        <w:r>
          <w:fldChar w:fldCharType="end"/>
        </w:r>
      </w:p>
    </w:sdtContent>
  </w:sdt>
  <w:p w:rsidR="00E07493" w:rsidRDefault="00E074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66890"/>
      <w:docPartObj>
        <w:docPartGallery w:val="Page Numbers (Bottom of Page)"/>
        <w:docPartUnique/>
      </w:docPartObj>
    </w:sdtPr>
    <w:sdtEndPr/>
    <w:sdtContent>
      <w:p w:rsidR="00E07493" w:rsidRDefault="00E07493">
        <w:pPr>
          <w:pStyle w:val="a6"/>
          <w:jc w:val="right"/>
        </w:pPr>
        <w:r w:rsidRPr="00357267">
          <w:rPr>
            <w:color w:val="FFFFFF" w:themeColor="background1"/>
          </w:rPr>
          <w:fldChar w:fldCharType="begin"/>
        </w:r>
        <w:r w:rsidRPr="00357267">
          <w:rPr>
            <w:color w:val="FFFFFF" w:themeColor="background1"/>
          </w:rPr>
          <w:instrText>PAGE   \* MERGEFORMAT</w:instrText>
        </w:r>
        <w:r w:rsidRPr="00357267">
          <w:rPr>
            <w:color w:val="FFFFFF" w:themeColor="background1"/>
          </w:rPr>
          <w:fldChar w:fldCharType="separate"/>
        </w:r>
        <w:r w:rsidRPr="00357267">
          <w:rPr>
            <w:color w:val="FFFFFF" w:themeColor="background1"/>
            <w:lang w:val="ja-JP"/>
          </w:rPr>
          <w:t>2</w:t>
        </w:r>
        <w:r w:rsidRPr="00357267">
          <w:rPr>
            <w:color w:val="FFFFFF" w:themeColor="background1"/>
          </w:rPr>
          <w:fldChar w:fldCharType="end"/>
        </w:r>
      </w:p>
    </w:sdtContent>
  </w:sdt>
  <w:p w:rsidR="00E07493" w:rsidRDefault="00E074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EB2" w:rsidRDefault="007C4EB2" w:rsidP="007C1414">
      <w:r>
        <w:separator/>
      </w:r>
    </w:p>
  </w:footnote>
  <w:footnote w:type="continuationSeparator" w:id="0">
    <w:p w:rsidR="007C4EB2" w:rsidRDefault="007C4EB2" w:rsidP="007C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1E47"/>
    <w:multiLevelType w:val="hybridMultilevel"/>
    <w:tmpl w:val="9D265954"/>
    <w:lvl w:ilvl="0" w:tplc="04090019">
      <w:start w:val="1"/>
      <w:numFmt w:val="iroha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74949C8"/>
    <w:multiLevelType w:val="hybridMultilevel"/>
    <w:tmpl w:val="68DC1FE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211298E"/>
    <w:multiLevelType w:val="hybridMultilevel"/>
    <w:tmpl w:val="F4447CF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E445CB"/>
    <w:multiLevelType w:val="hybridMultilevel"/>
    <w:tmpl w:val="853E11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E3756CA"/>
    <w:multiLevelType w:val="hybridMultilevel"/>
    <w:tmpl w:val="A0CC221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05">
      <w:start w:val="1"/>
      <w:numFmt w:val="bullet"/>
      <w:lvlText w:val=""/>
      <w:lvlJc w:val="left"/>
      <w:pPr>
        <w:ind w:left="1260" w:hanging="420"/>
      </w:pPr>
      <w:rPr>
        <w:rFonts w:ascii="Wingdings" w:hAnsi="Wingdings" w:hint="default"/>
      </w:rPr>
    </w:lvl>
    <w:lvl w:ilvl="3" w:tplc="04090017">
      <w:start w:val="1"/>
      <w:numFmt w:val="aiueoFullWidth"/>
      <w:lvlText w:val="(%4)"/>
      <w:lvlJc w:val="left"/>
      <w:pPr>
        <w:ind w:left="1680" w:hanging="420"/>
      </w:pPr>
    </w:lvl>
    <w:lvl w:ilvl="4" w:tplc="12545F24">
      <w:numFmt w:val="bullet"/>
      <w:lvlText w:val="※"/>
      <w:lvlJc w:val="left"/>
      <w:pPr>
        <w:ind w:left="2040" w:hanging="360"/>
      </w:pPr>
      <w:rPr>
        <w:rFonts w:ascii="游明朝" w:eastAsia="游明朝" w:hAnsi="游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66"/>
    <w:rsid w:val="0000314C"/>
    <w:rsid w:val="00004755"/>
    <w:rsid w:val="00006243"/>
    <w:rsid w:val="00006FC6"/>
    <w:rsid w:val="00011810"/>
    <w:rsid w:val="00011EC0"/>
    <w:rsid w:val="000155BE"/>
    <w:rsid w:val="00020ABD"/>
    <w:rsid w:val="000355A1"/>
    <w:rsid w:val="000358B2"/>
    <w:rsid w:val="00036393"/>
    <w:rsid w:val="00041909"/>
    <w:rsid w:val="000449BD"/>
    <w:rsid w:val="00044C75"/>
    <w:rsid w:val="000462B0"/>
    <w:rsid w:val="0005296E"/>
    <w:rsid w:val="00053CC9"/>
    <w:rsid w:val="0005404D"/>
    <w:rsid w:val="0005463D"/>
    <w:rsid w:val="00054940"/>
    <w:rsid w:val="00060ACD"/>
    <w:rsid w:val="00060AE6"/>
    <w:rsid w:val="00062D87"/>
    <w:rsid w:val="0006391E"/>
    <w:rsid w:val="0006521D"/>
    <w:rsid w:val="0007126C"/>
    <w:rsid w:val="000714A6"/>
    <w:rsid w:val="00071B70"/>
    <w:rsid w:val="00072127"/>
    <w:rsid w:val="00075CBB"/>
    <w:rsid w:val="0007775E"/>
    <w:rsid w:val="0008246B"/>
    <w:rsid w:val="00095E32"/>
    <w:rsid w:val="000A2899"/>
    <w:rsid w:val="000A5E7A"/>
    <w:rsid w:val="000B7B63"/>
    <w:rsid w:val="000B7F9B"/>
    <w:rsid w:val="000D3026"/>
    <w:rsid w:val="000D7EA6"/>
    <w:rsid w:val="000E0E29"/>
    <w:rsid w:val="000E0FB8"/>
    <w:rsid w:val="000E2490"/>
    <w:rsid w:val="000E3114"/>
    <w:rsid w:val="000F0607"/>
    <w:rsid w:val="000F29CF"/>
    <w:rsid w:val="000F6603"/>
    <w:rsid w:val="00102109"/>
    <w:rsid w:val="00103051"/>
    <w:rsid w:val="0010628E"/>
    <w:rsid w:val="00117D99"/>
    <w:rsid w:val="00124A77"/>
    <w:rsid w:val="00124C76"/>
    <w:rsid w:val="00126D77"/>
    <w:rsid w:val="00127EF9"/>
    <w:rsid w:val="00130083"/>
    <w:rsid w:val="00131891"/>
    <w:rsid w:val="001351B5"/>
    <w:rsid w:val="001361BA"/>
    <w:rsid w:val="001375E7"/>
    <w:rsid w:val="00137A62"/>
    <w:rsid w:val="0014659E"/>
    <w:rsid w:val="001570A6"/>
    <w:rsid w:val="00166370"/>
    <w:rsid w:val="00176FC1"/>
    <w:rsid w:val="00183570"/>
    <w:rsid w:val="00184D8F"/>
    <w:rsid w:val="00185033"/>
    <w:rsid w:val="001852A3"/>
    <w:rsid w:val="00185AA7"/>
    <w:rsid w:val="00196A33"/>
    <w:rsid w:val="001A12F8"/>
    <w:rsid w:val="001A613C"/>
    <w:rsid w:val="001B39B7"/>
    <w:rsid w:val="001B481F"/>
    <w:rsid w:val="001B4F25"/>
    <w:rsid w:val="001B760F"/>
    <w:rsid w:val="001C2C42"/>
    <w:rsid w:val="001E4D80"/>
    <w:rsid w:val="001F1C22"/>
    <w:rsid w:val="001F2C15"/>
    <w:rsid w:val="001F3C4B"/>
    <w:rsid w:val="002013C7"/>
    <w:rsid w:val="00205689"/>
    <w:rsid w:val="0020611E"/>
    <w:rsid w:val="00212290"/>
    <w:rsid w:val="00212665"/>
    <w:rsid w:val="00220008"/>
    <w:rsid w:val="00226D36"/>
    <w:rsid w:val="00232BC1"/>
    <w:rsid w:val="00237C2F"/>
    <w:rsid w:val="00240650"/>
    <w:rsid w:val="00246BFC"/>
    <w:rsid w:val="00260839"/>
    <w:rsid w:val="00260E8D"/>
    <w:rsid w:val="00265346"/>
    <w:rsid w:val="00267244"/>
    <w:rsid w:val="0027120F"/>
    <w:rsid w:val="00271E39"/>
    <w:rsid w:val="00275BE7"/>
    <w:rsid w:val="00276A27"/>
    <w:rsid w:val="002835CB"/>
    <w:rsid w:val="00291BE5"/>
    <w:rsid w:val="002938B7"/>
    <w:rsid w:val="002A4E07"/>
    <w:rsid w:val="002B02AF"/>
    <w:rsid w:val="002B3E9B"/>
    <w:rsid w:val="002C1DF1"/>
    <w:rsid w:val="002C3E43"/>
    <w:rsid w:val="002C5939"/>
    <w:rsid w:val="002C7D79"/>
    <w:rsid w:val="002D43F6"/>
    <w:rsid w:val="002E6A7F"/>
    <w:rsid w:val="002F194B"/>
    <w:rsid w:val="00311B64"/>
    <w:rsid w:val="0031249C"/>
    <w:rsid w:val="0031393B"/>
    <w:rsid w:val="00314F33"/>
    <w:rsid w:val="003213E3"/>
    <w:rsid w:val="00324260"/>
    <w:rsid w:val="003256BD"/>
    <w:rsid w:val="00330996"/>
    <w:rsid w:val="0033331F"/>
    <w:rsid w:val="00340E52"/>
    <w:rsid w:val="00345ACC"/>
    <w:rsid w:val="00352779"/>
    <w:rsid w:val="00356EA0"/>
    <w:rsid w:val="00357267"/>
    <w:rsid w:val="003627F2"/>
    <w:rsid w:val="00363494"/>
    <w:rsid w:val="00364E32"/>
    <w:rsid w:val="003651C6"/>
    <w:rsid w:val="00365229"/>
    <w:rsid w:val="003668CC"/>
    <w:rsid w:val="003679EE"/>
    <w:rsid w:val="00371021"/>
    <w:rsid w:val="00377670"/>
    <w:rsid w:val="00391129"/>
    <w:rsid w:val="003950A4"/>
    <w:rsid w:val="00396C1C"/>
    <w:rsid w:val="003A3B66"/>
    <w:rsid w:val="003A6974"/>
    <w:rsid w:val="003A7111"/>
    <w:rsid w:val="003B7675"/>
    <w:rsid w:val="003B7D4E"/>
    <w:rsid w:val="003C1AA0"/>
    <w:rsid w:val="003C3AF5"/>
    <w:rsid w:val="003C5EBB"/>
    <w:rsid w:val="003D150E"/>
    <w:rsid w:val="003D2070"/>
    <w:rsid w:val="003D5798"/>
    <w:rsid w:val="003E157B"/>
    <w:rsid w:val="003E58E0"/>
    <w:rsid w:val="003F18F1"/>
    <w:rsid w:val="00400E0E"/>
    <w:rsid w:val="0040685E"/>
    <w:rsid w:val="004076A7"/>
    <w:rsid w:val="0041689B"/>
    <w:rsid w:val="00417558"/>
    <w:rsid w:val="00433058"/>
    <w:rsid w:val="00436495"/>
    <w:rsid w:val="00436725"/>
    <w:rsid w:val="00437FFB"/>
    <w:rsid w:val="00442FB2"/>
    <w:rsid w:val="0044581C"/>
    <w:rsid w:val="00445A55"/>
    <w:rsid w:val="004463CC"/>
    <w:rsid w:val="004542A7"/>
    <w:rsid w:val="0045445F"/>
    <w:rsid w:val="00454C9C"/>
    <w:rsid w:val="00456DE1"/>
    <w:rsid w:val="004604D0"/>
    <w:rsid w:val="00462CC5"/>
    <w:rsid w:val="00467711"/>
    <w:rsid w:val="0047277A"/>
    <w:rsid w:val="0047417C"/>
    <w:rsid w:val="004868A7"/>
    <w:rsid w:val="004927E7"/>
    <w:rsid w:val="004929B6"/>
    <w:rsid w:val="00493050"/>
    <w:rsid w:val="004936BD"/>
    <w:rsid w:val="00495E1B"/>
    <w:rsid w:val="004A7308"/>
    <w:rsid w:val="004C4EE0"/>
    <w:rsid w:val="004C52E8"/>
    <w:rsid w:val="004C5FA5"/>
    <w:rsid w:val="004C6E62"/>
    <w:rsid w:val="004C750E"/>
    <w:rsid w:val="004D03D7"/>
    <w:rsid w:val="004D2971"/>
    <w:rsid w:val="004D526F"/>
    <w:rsid w:val="004D6F65"/>
    <w:rsid w:val="004E680D"/>
    <w:rsid w:val="004E743F"/>
    <w:rsid w:val="004E781E"/>
    <w:rsid w:val="004F12CF"/>
    <w:rsid w:val="004F24A6"/>
    <w:rsid w:val="004F34DF"/>
    <w:rsid w:val="004F5B6B"/>
    <w:rsid w:val="004F7BEA"/>
    <w:rsid w:val="0051017F"/>
    <w:rsid w:val="00511E68"/>
    <w:rsid w:val="00516BF8"/>
    <w:rsid w:val="00525CD5"/>
    <w:rsid w:val="00537400"/>
    <w:rsid w:val="00540663"/>
    <w:rsid w:val="00540EAB"/>
    <w:rsid w:val="00546D9A"/>
    <w:rsid w:val="005519CD"/>
    <w:rsid w:val="00562153"/>
    <w:rsid w:val="00567FE5"/>
    <w:rsid w:val="005705FE"/>
    <w:rsid w:val="00576A2A"/>
    <w:rsid w:val="005833CD"/>
    <w:rsid w:val="00596162"/>
    <w:rsid w:val="005B5949"/>
    <w:rsid w:val="005B5E10"/>
    <w:rsid w:val="005B67E1"/>
    <w:rsid w:val="005B6991"/>
    <w:rsid w:val="005C60DF"/>
    <w:rsid w:val="005D3FCC"/>
    <w:rsid w:val="005D4763"/>
    <w:rsid w:val="005E5ACD"/>
    <w:rsid w:val="005F1BB0"/>
    <w:rsid w:val="005F31C5"/>
    <w:rsid w:val="00600716"/>
    <w:rsid w:val="00601DD9"/>
    <w:rsid w:val="00607D6B"/>
    <w:rsid w:val="006225AE"/>
    <w:rsid w:val="0062649D"/>
    <w:rsid w:val="00626B07"/>
    <w:rsid w:val="00627E1D"/>
    <w:rsid w:val="0063310A"/>
    <w:rsid w:val="006370E2"/>
    <w:rsid w:val="00637FD7"/>
    <w:rsid w:val="00643DA5"/>
    <w:rsid w:val="00645771"/>
    <w:rsid w:val="00647110"/>
    <w:rsid w:val="006503E2"/>
    <w:rsid w:val="00660A63"/>
    <w:rsid w:val="00662114"/>
    <w:rsid w:val="00665B98"/>
    <w:rsid w:val="006755B6"/>
    <w:rsid w:val="00680511"/>
    <w:rsid w:val="006839D8"/>
    <w:rsid w:val="006873F4"/>
    <w:rsid w:val="006A0405"/>
    <w:rsid w:val="006A2AFD"/>
    <w:rsid w:val="006A6A14"/>
    <w:rsid w:val="006A6C13"/>
    <w:rsid w:val="006A6DE6"/>
    <w:rsid w:val="006A7861"/>
    <w:rsid w:val="006B1A1B"/>
    <w:rsid w:val="006C0DB7"/>
    <w:rsid w:val="006C4D5A"/>
    <w:rsid w:val="006C799E"/>
    <w:rsid w:val="006C7B8A"/>
    <w:rsid w:val="006D3926"/>
    <w:rsid w:val="006E0BDF"/>
    <w:rsid w:val="006E2297"/>
    <w:rsid w:val="006E3F5A"/>
    <w:rsid w:val="006E69E4"/>
    <w:rsid w:val="006F6E80"/>
    <w:rsid w:val="007062E7"/>
    <w:rsid w:val="00706D9D"/>
    <w:rsid w:val="007115D3"/>
    <w:rsid w:val="00720BDD"/>
    <w:rsid w:val="007210D8"/>
    <w:rsid w:val="00724FE4"/>
    <w:rsid w:val="00725426"/>
    <w:rsid w:val="00726417"/>
    <w:rsid w:val="007313CD"/>
    <w:rsid w:val="007318D1"/>
    <w:rsid w:val="00732E16"/>
    <w:rsid w:val="007377F8"/>
    <w:rsid w:val="00750DF6"/>
    <w:rsid w:val="00753111"/>
    <w:rsid w:val="00754F90"/>
    <w:rsid w:val="00756A50"/>
    <w:rsid w:val="0076188D"/>
    <w:rsid w:val="007641A6"/>
    <w:rsid w:val="00766BB3"/>
    <w:rsid w:val="00767A79"/>
    <w:rsid w:val="0077125D"/>
    <w:rsid w:val="0078094A"/>
    <w:rsid w:val="00781D46"/>
    <w:rsid w:val="00790C09"/>
    <w:rsid w:val="00791BB0"/>
    <w:rsid w:val="007A15AE"/>
    <w:rsid w:val="007A1E1C"/>
    <w:rsid w:val="007A5369"/>
    <w:rsid w:val="007A6DD7"/>
    <w:rsid w:val="007A7FF6"/>
    <w:rsid w:val="007B3525"/>
    <w:rsid w:val="007B79CD"/>
    <w:rsid w:val="007C1414"/>
    <w:rsid w:val="007C3F55"/>
    <w:rsid w:val="007C4EB2"/>
    <w:rsid w:val="007D079D"/>
    <w:rsid w:val="007D13ED"/>
    <w:rsid w:val="007D243E"/>
    <w:rsid w:val="007D2AA3"/>
    <w:rsid w:val="007D57C6"/>
    <w:rsid w:val="007D7AA0"/>
    <w:rsid w:val="007E184C"/>
    <w:rsid w:val="007E4AAE"/>
    <w:rsid w:val="007E76D1"/>
    <w:rsid w:val="007F0817"/>
    <w:rsid w:val="007F1D64"/>
    <w:rsid w:val="008042AD"/>
    <w:rsid w:val="008047E5"/>
    <w:rsid w:val="00806CD5"/>
    <w:rsid w:val="008130D9"/>
    <w:rsid w:val="00813FB6"/>
    <w:rsid w:val="00820BAB"/>
    <w:rsid w:val="00833F3A"/>
    <w:rsid w:val="00844A12"/>
    <w:rsid w:val="00845E7A"/>
    <w:rsid w:val="00854727"/>
    <w:rsid w:val="00854BC2"/>
    <w:rsid w:val="0085592A"/>
    <w:rsid w:val="008623E5"/>
    <w:rsid w:val="00865CD6"/>
    <w:rsid w:val="00873892"/>
    <w:rsid w:val="0087653B"/>
    <w:rsid w:val="008772AC"/>
    <w:rsid w:val="00882959"/>
    <w:rsid w:val="008878A1"/>
    <w:rsid w:val="008A354E"/>
    <w:rsid w:val="008A6888"/>
    <w:rsid w:val="008B02C5"/>
    <w:rsid w:val="008B1C09"/>
    <w:rsid w:val="008B27D0"/>
    <w:rsid w:val="008B3C48"/>
    <w:rsid w:val="008B55C5"/>
    <w:rsid w:val="008B78FC"/>
    <w:rsid w:val="008C149D"/>
    <w:rsid w:val="008C3D91"/>
    <w:rsid w:val="008D3E0F"/>
    <w:rsid w:val="008E1B16"/>
    <w:rsid w:val="008E3AA2"/>
    <w:rsid w:val="00900166"/>
    <w:rsid w:val="00907297"/>
    <w:rsid w:val="00912AFE"/>
    <w:rsid w:val="0091413A"/>
    <w:rsid w:val="00914198"/>
    <w:rsid w:val="00914246"/>
    <w:rsid w:val="00914DCA"/>
    <w:rsid w:val="00915A9B"/>
    <w:rsid w:val="009164DC"/>
    <w:rsid w:val="009255BB"/>
    <w:rsid w:val="00944585"/>
    <w:rsid w:val="00945906"/>
    <w:rsid w:val="0095067A"/>
    <w:rsid w:val="00953D7D"/>
    <w:rsid w:val="00956890"/>
    <w:rsid w:val="00957938"/>
    <w:rsid w:val="0096476C"/>
    <w:rsid w:val="0097062A"/>
    <w:rsid w:val="00972B40"/>
    <w:rsid w:val="00977638"/>
    <w:rsid w:val="00987F8F"/>
    <w:rsid w:val="00996105"/>
    <w:rsid w:val="00997A5C"/>
    <w:rsid w:val="009A4946"/>
    <w:rsid w:val="009A4FA2"/>
    <w:rsid w:val="009A7E97"/>
    <w:rsid w:val="009D7816"/>
    <w:rsid w:val="009E49E0"/>
    <w:rsid w:val="00A015D1"/>
    <w:rsid w:val="00A12791"/>
    <w:rsid w:val="00A16630"/>
    <w:rsid w:val="00A17BE7"/>
    <w:rsid w:val="00A32566"/>
    <w:rsid w:val="00A326A0"/>
    <w:rsid w:val="00A35A67"/>
    <w:rsid w:val="00A37CA9"/>
    <w:rsid w:val="00A40058"/>
    <w:rsid w:val="00A401B4"/>
    <w:rsid w:val="00A546C4"/>
    <w:rsid w:val="00A6018F"/>
    <w:rsid w:val="00A6092D"/>
    <w:rsid w:val="00A629AD"/>
    <w:rsid w:val="00A64F07"/>
    <w:rsid w:val="00A65044"/>
    <w:rsid w:val="00A7358E"/>
    <w:rsid w:val="00A80522"/>
    <w:rsid w:val="00A83492"/>
    <w:rsid w:val="00A8441B"/>
    <w:rsid w:val="00A91C9F"/>
    <w:rsid w:val="00A95554"/>
    <w:rsid w:val="00AA476C"/>
    <w:rsid w:val="00AA57ED"/>
    <w:rsid w:val="00AB7BCD"/>
    <w:rsid w:val="00AC0D05"/>
    <w:rsid w:val="00AC2930"/>
    <w:rsid w:val="00AD661B"/>
    <w:rsid w:val="00AD6633"/>
    <w:rsid w:val="00AE0128"/>
    <w:rsid w:val="00AE3334"/>
    <w:rsid w:val="00AE5EDC"/>
    <w:rsid w:val="00AE6827"/>
    <w:rsid w:val="00AE7ED3"/>
    <w:rsid w:val="00AF0DE4"/>
    <w:rsid w:val="00AF1DAA"/>
    <w:rsid w:val="00AF32AA"/>
    <w:rsid w:val="00AF4F30"/>
    <w:rsid w:val="00B0678A"/>
    <w:rsid w:val="00B1295F"/>
    <w:rsid w:val="00B16CFD"/>
    <w:rsid w:val="00B20EE6"/>
    <w:rsid w:val="00B2312E"/>
    <w:rsid w:val="00B30A65"/>
    <w:rsid w:val="00B315DC"/>
    <w:rsid w:val="00B45C2B"/>
    <w:rsid w:val="00B52B53"/>
    <w:rsid w:val="00B5514B"/>
    <w:rsid w:val="00B56467"/>
    <w:rsid w:val="00B624FF"/>
    <w:rsid w:val="00B6293C"/>
    <w:rsid w:val="00B750EE"/>
    <w:rsid w:val="00B75E14"/>
    <w:rsid w:val="00B75EEE"/>
    <w:rsid w:val="00B7770B"/>
    <w:rsid w:val="00B77A45"/>
    <w:rsid w:val="00B8089D"/>
    <w:rsid w:val="00B81C4B"/>
    <w:rsid w:val="00B8541A"/>
    <w:rsid w:val="00B876C5"/>
    <w:rsid w:val="00B87C40"/>
    <w:rsid w:val="00B95762"/>
    <w:rsid w:val="00B96CA7"/>
    <w:rsid w:val="00BA53D9"/>
    <w:rsid w:val="00BB19DC"/>
    <w:rsid w:val="00BB3277"/>
    <w:rsid w:val="00BC2577"/>
    <w:rsid w:val="00BC5495"/>
    <w:rsid w:val="00BD0309"/>
    <w:rsid w:val="00BD2603"/>
    <w:rsid w:val="00BD4812"/>
    <w:rsid w:val="00BD4CCE"/>
    <w:rsid w:val="00BD75DA"/>
    <w:rsid w:val="00BE0CD3"/>
    <w:rsid w:val="00BE56DD"/>
    <w:rsid w:val="00BF28D6"/>
    <w:rsid w:val="00BF2F20"/>
    <w:rsid w:val="00C014C5"/>
    <w:rsid w:val="00C01D67"/>
    <w:rsid w:val="00C02D9E"/>
    <w:rsid w:val="00C05A20"/>
    <w:rsid w:val="00C05CD4"/>
    <w:rsid w:val="00C05F32"/>
    <w:rsid w:val="00C06E6F"/>
    <w:rsid w:val="00C1031C"/>
    <w:rsid w:val="00C10C48"/>
    <w:rsid w:val="00C16736"/>
    <w:rsid w:val="00C20BBD"/>
    <w:rsid w:val="00C26E4B"/>
    <w:rsid w:val="00C26ED0"/>
    <w:rsid w:val="00C32EA1"/>
    <w:rsid w:val="00C44D6A"/>
    <w:rsid w:val="00C478B1"/>
    <w:rsid w:val="00C5181B"/>
    <w:rsid w:val="00C57371"/>
    <w:rsid w:val="00C728DA"/>
    <w:rsid w:val="00C740B9"/>
    <w:rsid w:val="00C741EF"/>
    <w:rsid w:val="00C76EB7"/>
    <w:rsid w:val="00C821A9"/>
    <w:rsid w:val="00C87E22"/>
    <w:rsid w:val="00C93500"/>
    <w:rsid w:val="00C937A3"/>
    <w:rsid w:val="00C953A5"/>
    <w:rsid w:val="00CA1DEA"/>
    <w:rsid w:val="00CA4D33"/>
    <w:rsid w:val="00CA7FD7"/>
    <w:rsid w:val="00CB0368"/>
    <w:rsid w:val="00CB6392"/>
    <w:rsid w:val="00CC053A"/>
    <w:rsid w:val="00CC3BD3"/>
    <w:rsid w:val="00CC6E7F"/>
    <w:rsid w:val="00CD149F"/>
    <w:rsid w:val="00CD37F8"/>
    <w:rsid w:val="00CD68C2"/>
    <w:rsid w:val="00CD6BEA"/>
    <w:rsid w:val="00CD7BB6"/>
    <w:rsid w:val="00CE2E36"/>
    <w:rsid w:val="00CE5682"/>
    <w:rsid w:val="00CF3515"/>
    <w:rsid w:val="00CF3CE6"/>
    <w:rsid w:val="00D02A8C"/>
    <w:rsid w:val="00D03077"/>
    <w:rsid w:val="00D04EA4"/>
    <w:rsid w:val="00D11CC2"/>
    <w:rsid w:val="00D13802"/>
    <w:rsid w:val="00D13DCA"/>
    <w:rsid w:val="00D14B64"/>
    <w:rsid w:val="00D14F2D"/>
    <w:rsid w:val="00D3005B"/>
    <w:rsid w:val="00D348FB"/>
    <w:rsid w:val="00D365C9"/>
    <w:rsid w:val="00D401F9"/>
    <w:rsid w:val="00D40396"/>
    <w:rsid w:val="00D455B2"/>
    <w:rsid w:val="00D60D57"/>
    <w:rsid w:val="00D67F45"/>
    <w:rsid w:val="00D7052C"/>
    <w:rsid w:val="00D70A4F"/>
    <w:rsid w:val="00D72154"/>
    <w:rsid w:val="00D83754"/>
    <w:rsid w:val="00D83EAF"/>
    <w:rsid w:val="00D874B9"/>
    <w:rsid w:val="00D93CE4"/>
    <w:rsid w:val="00D97183"/>
    <w:rsid w:val="00DA0A5A"/>
    <w:rsid w:val="00DB1433"/>
    <w:rsid w:val="00DC07E7"/>
    <w:rsid w:val="00DC41B5"/>
    <w:rsid w:val="00DD5F35"/>
    <w:rsid w:val="00DE16E3"/>
    <w:rsid w:val="00DE5A81"/>
    <w:rsid w:val="00DF293F"/>
    <w:rsid w:val="00DF443E"/>
    <w:rsid w:val="00DF64C4"/>
    <w:rsid w:val="00DF66C3"/>
    <w:rsid w:val="00E07020"/>
    <w:rsid w:val="00E07493"/>
    <w:rsid w:val="00E17075"/>
    <w:rsid w:val="00E20761"/>
    <w:rsid w:val="00E20D84"/>
    <w:rsid w:val="00E31443"/>
    <w:rsid w:val="00E354AD"/>
    <w:rsid w:val="00E36A32"/>
    <w:rsid w:val="00E4466A"/>
    <w:rsid w:val="00E50416"/>
    <w:rsid w:val="00E510DC"/>
    <w:rsid w:val="00E53608"/>
    <w:rsid w:val="00E637DD"/>
    <w:rsid w:val="00E67717"/>
    <w:rsid w:val="00E67FB4"/>
    <w:rsid w:val="00E75061"/>
    <w:rsid w:val="00E75643"/>
    <w:rsid w:val="00E80875"/>
    <w:rsid w:val="00E813D3"/>
    <w:rsid w:val="00E831CC"/>
    <w:rsid w:val="00E91065"/>
    <w:rsid w:val="00E9326C"/>
    <w:rsid w:val="00EA6E77"/>
    <w:rsid w:val="00EA763C"/>
    <w:rsid w:val="00EB27DA"/>
    <w:rsid w:val="00EB3C12"/>
    <w:rsid w:val="00EC76F1"/>
    <w:rsid w:val="00EC794A"/>
    <w:rsid w:val="00ED3E24"/>
    <w:rsid w:val="00EE4505"/>
    <w:rsid w:val="00EF4F2C"/>
    <w:rsid w:val="00EF7E89"/>
    <w:rsid w:val="00F11B6F"/>
    <w:rsid w:val="00F16450"/>
    <w:rsid w:val="00F200B2"/>
    <w:rsid w:val="00F21ACC"/>
    <w:rsid w:val="00F21F47"/>
    <w:rsid w:val="00F22032"/>
    <w:rsid w:val="00F24930"/>
    <w:rsid w:val="00F31B6A"/>
    <w:rsid w:val="00F34BC9"/>
    <w:rsid w:val="00F34C0F"/>
    <w:rsid w:val="00F4091F"/>
    <w:rsid w:val="00F41596"/>
    <w:rsid w:val="00F41A88"/>
    <w:rsid w:val="00F41CA5"/>
    <w:rsid w:val="00F42F16"/>
    <w:rsid w:val="00F44D09"/>
    <w:rsid w:val="00F475D6"/>
    <w:rsid w:val="00F47A6C"/>
    <w:rsid w:val="00F52EF9"/>
    <w:rsid w:val="00F604E8"/>
    <w:rsid w:val="00F709BE"/>
    <w:rsid w:val="00F721D0"/>
    <w:rsid w:val="00F75745"/>
    <w:rsid w:val="00F76B16"/>
    <w:rsid w:val="00F90E23"/>
    <w:rsid w:val="00F957B2"/>
    <w:rsid w:val="00F963B3"/>
    <w:rsid w:val="00FA4E1B"/>
    <w:rsid w:val="00FA5BA4"/>
    <w:rsid w:val="00FB0969"/>
    <w:rsid w:val="00FB5A4A"/>
    <w:rsid w:val="00FC0B15"/>
    <w:rsid w:val="00FC1E23"/>
    <w:rsid w:val="00FD09DD"/>
    <w:rsid w:val="00FD0D41"/>
    <w:rsid w:val="00FD30AB"/>
    <w:rsid w:val="00FD33A9"/>
    <w:rsid w:val="00FD58F4"/>
    <w:rsid w:val="00FE2DB9"/>
    <w:rsid w:val="00FE6B43"/>
    <w:rsid w:val="00FF3356"/>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C7E2E"/>
  <w15:chartTrackingRefBased/>
  <w15:docId w15:val="{D665806C-0968-46C4-B939-AD479D09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66"/>
    <w:pPr>
      <w:ind w:leftChars="400" w:left="840"/>
    </w:pPr>
  </w:style>
  <w:style w:type="paragraph" w:styleId="a4">
    <w:name w:val="header"/>
    <w:basedOn w:val="a"/>
    <w:link w:val="a5"/>
    <w:uiPriority w:val="99"/>
    <w:unhideWhenUsed/>
    <w:rsid w:val="007C1414"/>
    <w:pPr>
      <w:tabs>
        <w:tab w:val="center" w:pos="4252"/>
        <w:tab w:val="right" w:pos="8504"/>
      </w:tabs>
      <w:snapToGrid w:val="0"/>
    </w:pPr>
  </w:style>
  <w:style w:type="character" w:customStyle="1" w:styleId="a5">
    <w:name w:val="ヘッダー (文字)"/>
    <w:basedOn w:val="a0"/>
    <w:link w:val="a4"/>
    <w:uiPriority w:val="99"/>
    <w:rsid w:val="007C1414"/>
  </w:style>
  <w:style w:type="paragraph" w:styleId="a6">
    <w:name w:val="footer"/>
    <w:basedOn w:val="a"/>
    <w:link w:val="a7"/>
    <w:uiPriority w:val="99"/>
    <w:unhideWhenUsed/>
    <w:rsid w:val="007C1414"/>
    <w:pPr>
      <w:tabs>
        <w:tab w:val="center" w:pos="4252"/>
        <w:tab w:val="right" w:pos="8504"/>
      </w:tabs>
      <w:snapToGrid w:val="0"/>
    </w:pPr>
  </w:style>
  <w:style w:type="character" w:customStyle="1" w:styleId="a7">
    <w:name w:val="フッター (文字)"/>
    <w:basedOn w:val="a0"/>
    <w:link w:val="a6"/>
    <w:uiPriority w:val="99"/>
    <w:rsid w:val="007C1414"/>
  </w:style>
  <w:style w:type="paragraph" w:styleId="a8">
    <w:name w:val="No Spacing"/>
    <w:link w:val="a9"/>
    <w:uiPriority w:val="1"/>
    <w:qFormat/>
    <w:rsid w:val="00977638"/>
    <w:rPr>
      <w:rFonts w:asciiTheme="minorHAnsi" w:eastAsiaTheme="minorEastAsia"/>
      <w:kern w:val="0"/>
      <w:sz w:val="22"/>
    </w:rPr>
  </w:style>
  <w:style w:type="character" w:customStyle="1" w:styleId="a9">
    <w:name w:val="行間詰め (文字)"/>
    <w:basedOn w:val="a0"/>
    <w:link w:val="a8"/>
    <w:uiPriority w:val="1"/>
    <w:rsid w:val="00977638"/>
    <w:rPr>
      <w:rFonts w:asciiTheme="minorHAnsi" w:eastAsiaTheme="minorEastAsia"/>
      <w:kern w:val="0"/>
      <w:sz w:val="22"/>
    </w:rPr>
  </w:style>
  <w:style w:type="paragraph" w:styleId="aa">
    <w:name w:val="Balloon Text"/>
    <w:basedOn w:val="a"/>
    <w:link w:val="ab"/>
    <w:uiPriority w:val="99"/>
    <w:semiHidden/>
    <w:unhideWhenUsed/>
    <w:rsid w:val="009776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638"/>
    <w:rPr>
      <w:rFonts w:asciiTheme="majorHAnsi" w:eastAsiaTheme="majorEastAsia" w:hAnsiTheme="majorHAnsi" w:cstheme="majorBidi"/>
      <w:sz w:val="18"/>
      <w:szCs w:val="18"/>
    </w:rPr>
  </w:style>
  <w:style w:type="character" w:styleId="ac">
    <w:name w:val="Hyperlink"/>
    <w:basedOn w:val="a0"/>
    <w:uiPriority w:val="99"/>
    <w:unhideWhenUsed/>
    <w:rsid w:val="00865CD6"/>
    <w:rPr>
      <w:color w:val="0563C1" w:themeColor="hyperlink"/>
      <w:u w:val="single"/>
    </w:rPr>
  </w:style>
  <w:style w:type="character" w:styleId="ad">
    <w:name w:val="Unresolved Mention"/>
    <w:basedOn w:val="a0"/>
    <w:uiPriority w:val="99"/>
    <w:semiHidden/>
    <w:unhideWhenUsed/>
    <w:rsid w:val="00865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5670">
      <w:bodyDiv w:val="1"/>
      <w:marLeft w:val="0"/>
      <w:marRight w:val="0"/>
      <w:marTop w:val="0"/>
      <w:marBottom w:val="0"/>
      <w:divBdr>
        <w:top w:val="none" w:sz="0" w:space="0" w:color="auto"/>
        <w:left w:val="none" w:sz="0" w:space="0" w:color="auto"/>
        <w:bottom w:val="none" w:sz="0" w:space="0" w:color="auto"/>
        <w:right w:val="none" w:sz="0" w:space="0" w:color="auto"/>
      </w:divBdr>
    </w:div>
    <w:div w:id="1204055997">
      <w:bodyDiv w:val="1"/>
      <w:marLeft w:val="0"/>
      <w:marRight w:val="0"/>
      <w:marTop w:val="0"/>
      <w:marBottom w:val="0"/>
      <w:divBdr>
        <w:top w:val="none" w:sz="0" w:space="0" w:color="auto"/>
        <w:left w:val="none" w:sz="0" w:space="0" w:color="auto"/>
        <w:bottom w:val="none" w:sz="0" w:space="0" w:color="auto"/>
        <w:right w:val="none" w:sz="0" w:space="0" w:color="auto"/>
      </w:divBdr>
    </w:div>
    <w:div w:id="1757482686">
      <w:bodyDiv w:val="1"/>
      <w:marLeft w:val="0"/>
      <w:marRight w:val="0"/>
      <w:marTop w:val="0"/>
      <w:marBottom w:val="0"/>
      <w:divBdr>
        <w:top w:val="none" w:sz="0" w:space="0" w:color="auto"/>
        <w:left w:val="none" w:sz="0" w:space="0" w:color="auto"/>
        <w:bottom w:val="none" w:sz="0" w:space="0" w:color="auto"/>
        <w:right w:val="none" w:sz="0" w:space="0" w:color="auto"/>
      </w:divBdr>
    </w:div>
    <w:div w:id="1788432451">
      <w:bodyDiv w:val="1"/>
      <w:marLeft w:val="0"/>
      <w:marRight w:val="0"/>
      <w:marTop w:val="0"/>
      <w:marBottom w:val="0"/>
      <w:divBdr>
        <w:top w:val="none" w:sz="0" w:space="0" w:color="auto"/>
        <w:left w:val="none" w:sz="0" w:space="0" w:color="auto"/>
        <w:bottom w:val="none" w:sz="0" w:space="0" w:color="auto"/>
        <w:right w:val="none" w:sz="0" w:space="0" w:color="auto"/>
      </w:divBdr>
    </w:div>
    <w:div w:id="19673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44B1-C9FE-4CCE-8D6B-0B489B66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901</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事業承継税制のポイント</vt:lpstr>
    </vt:vector>
  </TitlesOfParts>
  <Company>倉重税務会計事務所</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事業承継税制のポイント</dc:title>
  <dc:subject>＜主な改正項目＞</dc:subject>
  <dc:creator>KURA003</dc:creator>
  <cp:keywords/>
  <dc:description/>
  <cp:lastModifiedBy>KURA003</cp:lastModifiedBy>
  <cp:revision>6</cp:revision>
  <cp:lastPrinted>2018-10-29T07:41:00Z</cp:lastPrinted>
  <dcterms:created xsi:type="dcterms:W3CDTF">2018-11-27T05:11:00Z</dcterms:created>
  <dcterms:modified xsi:type="dcterms:W3CDTF">2019-03-13T01:57:00Z</dcterms:modified>
  <cp:category>三浦　伸子</cp:category>
</cp:coreProperties>
</file>