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1CC" w:rsidRDefault="005E3B63" w:rsidP="00EC0B4B">
      <w:pPr>
        <w:jc w:val="center"/>
      </w:pPr>
      <w:r>
        <w:rPr>
          <w:rFonts w:hint="eastAsia"/>
        </w:rPr>
        <w:t>取引相場のない株式等の評価(会社規模の判定基準の見直し等)</w:t>
      </w:r>
    </w:p>
    <w:p w:rsidR="00EC0B4B" w:rsidRDefault="00EC0B4B" w:rsidP="00EC0B4B">
      <w:pPr>
        <w:jc w:val="center"/>
      </w:pPr>
    </w:p>
    <w:p w:rsidR="00EC0B4B" w:rsidRDefault="00EC0B4B" w:rsidP="00EC0B4B">
      <w:pPr>
        <w:jc w:val="right"/>
      </w:pPr>
      <w:r>
        <w:rPr>
          <w:rFonts w:hint="eastAsia"/>
        </w:rPr>
        <w:t>作成2018.05.22</w:t>
      </w:r>
    </w:p>
    <w:p w:rsidR="00EC0B4B" w:rsidRDefault="00EC0B4B" w:rsidP="00EC0B4B">
      <w:pPr>
        <w:jc w:val="right"/>
      </w:pPr>
      <w:r>
        <w:rPr>
          <w:rFonts w:hint="eastAsia"/>
        </w:rPr>
        <w:t>倉重税務会計事務所(三浦)</w:t>
      </w:r>
    </w:p>
    <w:p w:rsidR="00EC0B4B" w:rsidRDefault="005E3B63">
      <w:r>
        <w:rPr>
          <w:rFonts w:hint="eastAsia"/>
        </w:rPr>
        <w:t xml:space="preserve">　</w:t>
      </w:r>
    </w:p>
    <w:p w:rsidR="005E3B63" w:rsidRDefault="005E3B63">
      <w:r>
        <w:rPr>
          <w:rFonts w:hint="eastAsia"/>
        </w:rPr>
        <w:t>取引相場のない株式等を評価する際の会社規模の判定基準における大会社及び中会社の総資産価額(帳簿価額によって計算した金額)、従業員数及び直前期末以前1年間における取引金額について、近年の上場会社の実態に合わせて改正した。</w:t>
      </w:r>
    </w:p>
    <w:p w:rsidR="005E3B63" w:rsidRDefault="005E3B63" w:rsidP="00B70232">
      <w:pPr>
        <w:jc w:val="right"/>
      </w:pPr>
      <w:r>
        <w:rPr>
          <w:rFonts w:hint="eastAsia"/>
        </w:rPr>
        <w:t>(評価通達178.179.189.明細書通達＝改正)</w:t>
      </w:r>
    </w:p>
    <w:p w:rsidR="005E3B63" w:rsidRDefault="005E3B63"/>
    <w:p w:rsidR="005E3B63" w:rsidRDefault="005E3B63" w:rsidP="00B70232">
      <w:pPr>
        <w:pStyle w:val="a3"/>
        <w:numPr>
          <w:ilvl w:val="0"/>
          <w:numId w:val="2"/>
        </w:numPr>
        <w:ind w:leftChars="0"/>
      </w:pPr>
      <w:r>
        <w:rPr>
          <w:rFonts w:hint="eastAsia"/>
        </w:rPr>
        <w:t>通達改正の概要</w:t>
      </w:r>
    </w:p>
    <w:p w:rsidR="005E3B63" w:rsidRDefault="005E3B63">
      <w:r>
        <w:rPr>
          <w:rFonts w:hint="eastAsia"/>
        </w:rPr>
        <w:t xml:space="preserve">　会社規模の判定基準について、法人企業統計調査(財務省)等に基づき、以下の通り改正した。</w:t>
      </w:r>
    </w:p>
    <w:p w:rsidR="005E3B63" w:rsidRDefault="005E3B63" w:rsidP="005E3B63">
      <w:pPr>
        <w:pStyle w:val="a3"/>
        <w:numPr>
          <w:ilvl w:val="0"/>
          <w:numId w:val="1"/>
        </w:numPr>
        <w:ind w:leftChars="0"/>
      </w:pPr>
      <w:r>
        <w:rPr>
          <w:rFonts w:hint="eastAsia"/>
        </w:rPr>
        <w:t>大会社</w:t>
      </w:r>
    </w:p>
    <w:p w:rsidR="005E3B63" w:rsidRDefault="005E3B63" w:rsidP="005E3B63">
      <w:pPr>
        <w:pStyle w:val="a3"/>
        <w:ind w:leftChars="0" w:left="420"/>
      </w:pPr>
      <w:r>
        <w:rPr>
          <w:rFonts w:hint="eastAsia"/>
        </w:rPr>
        <w:t xml:space="preserve">　大会社は、従来から上場会社に匹敵するような規模の会社と区分しており、法人企業統計調査に基づき、上場審査基準に相当する総資産価額等を算出することとしている。</w:t>
      </w:r>
    </w:p>
    <w:p w:rsidR="00B70232" w:rsidRDefault="005E3B63" w:rsidP="00B70232">
      <w:pPr>
        <w:pStyle w:val="a3"/>
        <w:ind w:leftChars="0" w:left="420"/>
      </w:pPr>
      <w:r>
        <w:rPr>
          <w:rFonts w:hint="eastAsia"/>
        </w:rPr>
        <w:t xml:space="preserve">　近年の上場会社の実態に合わせて、現在の上場審査基準を基に規模区分の金額等の基準を見直すこととした。具体的には、代表的な株式市場である東京証券取引所第一部等の</w:t>
      </w:r>
      <w:r w:rsidR="00B70232">
        <w:rPr>
          <w:rFonts w:hint="eastAsia"/>
        </w:rPr>
        <w:t>上場審査基準のみならず、新興市場の上場審査基準についても加味したうえで、法人企業統計調査に基づき総資産価額等を算出した。</w:t>
      </w:r>
    </w:p>
    <w:p w:rsidR="00B70232" w:rsidRDefault="00B70232" w:rsidP="00B70232">
      <w:pPr>
        <w:pStyle w:val="a3"/>
        <w:numPr>
          <w:ilvl w:val="0"/>
          <w:numId w:val="1"/>
        </w:numPr>
        <w:ind w:leftChars="0"/>
      </w:pPr>
      <w:r>
        <w:rPr>
          <w:rFonts w:hint="eastAsia"/>
        </w:rPr>
        <w:t>中会社</w:t>
      </w:r>
    </w:p>
    <w:p w:rsidR="00B70232" w:rsidRDefault="00B70232" w:rsidP="00B70232">
      <w:pPr>
        <w:ind w:leftChars="200" w:left="420"/>
      </w:pPr>
      <w:r>
        <w:rPr>
          <w:rFonts w:hint="eastAsia"/>
        </w:rPr>
        <w:t xml:space="preserve">　イ　Lの割合が0.9の会社</w:t>
      </w:r>
    </w:p>
    <w:p w:rsidR="00B70232" w:rsidRDefault="00B70232" w:rsidP="00B70232">
      <w:pPr>
        <w:pStyle w:val="a3"/>
      </w:pPr>
      <w:r>
        <w:rPr>
          <w:rFonts w:hint="eastAsia"/>
        </w:rPr>
        <w:t xml:space="preserve">　中会社は大会社と小会社の中間の規模の会社であり、とりわけLの割合が0.9の会社は、大会社に準ずる会社であって、上場を企図すればすぐに上場できる規模の会社と考えらえることから、新興市場に上場する会社と同視し得るものとの考え方の下、新興市場の上場審査基準を基に、総資産価額等を算出した。</w:t>
      </w:r>
    </w:p>
    <w:p w:rsidR="00B70232" w:rsidRDefault="00B70232" w:rsidP="00B70232">
      <w:pPr>
        <w:ind w:leftChars="200" w:left="420"/>
      </w:pPr>
      <w:r>
        <w:rPr>
          <w:rFonts w:hint="eastAsia"/>
        </w:rPr>
        <w:t xml:space="preserve">　ロ　Lの割合が0.75の会社</w:t>
      </w:r>
    </w:p>
    <w:p w:rsidR="00B70232" w:rsidRDefault="00B70232" w:rsidP="00B70232">
      <w:pPr>
        <w:pStyle w:val="a3"/>
      </w:pPr>
      <w:r>
        <w:rPr>
          <w:rFonts w:hint="eastAsia"/>
        </w:rPr>
        <w:t xml:space="preserve">　現行通達における取り扱いと同様に、中会社(大)の基準のほぼ50％に相当する総資産価額等を算出した。</w:t>
      </w:r>
    </w:p>
    <w:p w:rsidR="00B70232" w:rsidRDefault="00B70232" w:rsidP="00B70232"/>
    <w:p w:rsidR="00B70232" w:rsidRDefault="00B70232" w:rsidP="00B70232">
      <w:pPr>
        <w:pStyle w:val="a3"/>
        <w:numPr>
          <w:ilvl w:val="0"/>
          <w:numId w:val="2"/>
        </w:numPr>
        <w:ind w:leftChars="0"/>
      </w:pPr>
      <w:r>
        <w:rPr>
          <w:rFonts w:hint="eastAsia"/>
        </w:rPr>
        <w:t>大会社の判定基準の見直しに伴う改正</w:t>
      </w:r>
    </w:p>
    <w:p w:rsidR="00B70232" w:rsidRDefault="00B70232" w:rsidP="00B70232">
      <w:pPr>
        <w:ind w:firstLineChars="100" w:firstLine="210"/>
      </w:pPr>
      <w:r>
        <w:rPr>
          <w:rFonts w:hint="eastAsia"/>
        </w:rPr>
        <w:t>大会社の判定基準に係る総資産価額が改正されたことに伴い、土地保有特定会社の判定基準のうち、純資産価額について改正した。</w:t>
      </w:r>
    </w:p>
    <w:p w:rsidR="00B70232" w:rsidRDefault="00B70232">
      <w:pPr>
        <w:widowControl/>
        <w:jc w:val="left"/>
      </w:pPr>
      <w:r>
        <w:br w:type="page"/>
      </w:r>
    </w:p>
    <w:p w:rsidR="00B70232" w:rsidRDefault="00B70232" w:rsidP="00B70232">
      <w:pPr>
        <w:ind w:firstLineChars="100" w:firstLine="210"/>
      </w:pPr>
      <w:r w:rsidRPr="00B70232">
        <w:rPr>
          <w:rFonts w:hint="eastAsia"/>
          <w:noProof/>
        </w:rPr>
        <w:lastRenderedPageBreak/>
        <w:drawing>
          <wp:inline distT="0" distB="0" distL="0" distR="0">
            <wp:extent cx="5400040" cy="495410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954109"/>
                    </a:xfrm>
                    <a:prstGeom prst="rect">
                      <a:avLst/>
                    </a:prstGeom>
                    <a:noFill/>
                    <a:ln>
                      <a:noFill/>
                    </a:ln>
                  </pic:spPr>
                </pic:pic>
              </a:graphicData>
            </a:graphic>
          </wp:inline>
        </w:drawing>
      </w:r>
    </w:p>
    <w:p w:rsidR="008A5502" w:rsidRDefault="00AF5772" w:rsidP="00AF5772">
      <w:pPr>
        <w:pStyle w:val="a3"/>
        <w:numPr>
          <w:ilvl w:val="0"/>
          <w:numId w:val="3"/>
        </w:numPr>
        <w:ind w:leftChars="0"/>
      </w:pPr>
      <w:r>
        <w:rPr>
          <w:rFonts w:hint="eastAsia"/>
        </w:rPr>
        <w:t>塗りつぶし箇所が変更箇所</w:t>
      </w:r>
    </w:p>
    <w:p w:rsidR="00AF5772" w:rsidRDefault="00AF5772" w:rsidP="00AF5772"/>
    <w:p w:rsidR="00077021" w:rsidRDefault="00AF5772" w:rsidP="00AF5772">
      <w:r>
        <w:rPr>
          <w:rFonts w:hint="eastAsia"/>
        </w:rPr>
        <w:t>上記の通り、中会社、大会社の適用範囲が拡大されたため、類似業種比準価額で計算する比率が高くなり、一般的には「類似業種比準価額＜純資産価額」となることが多く、区分変更がある場合には株価が安くなる傾向にある。</w:t>
      </w:r>
    </w:p>
    <w:p w:rsidR="00077021" w:rsidRDefault="00077021">
      <w:pPr>
        <w:widowControl/>
        <w:jc w:val="left"/>
      </w:pPr>
      <w:r>
        <w:br w:type="page"/>
      </w:r>
    </w:p>
    <w:p w:rsidR="00AF5772" w:rsidRDefault="00077021" w:rsidP="00AF5772">
      <w:r>
        <w:rPr>
          <w:rFonts w:hint="eastAsia"/>
        </w:rPr>
        <w:lastRenderedPageBreak/>
        <w:t>出典</w:t>
      </w:r>
    </w:p>
    <w:p w:rsidR="00077021" w:rsidRDefault="00077021" w:rsidP="00077021">
      <w:pPr>
        <w:pStyle w:val="a3"/>
        <w:numPr>
          <w:ilvl w:val="0"/>
          <w:numId w:val="4"/>
        </w:numPr>
        <w:ind w:leftChars="0"/>
      </w:pPr>
      <w:r w:rsidRPr="00077021">
        <w:t>https://www.nta.go.jp/law/joho-zeikaishaku/hyoka/170515/pdf/04.pdf</w:t>
      </w:r>
    </w:p>
    <w:p w:rsidR="00077021" w:rsidRDefault="00077021" w:rsidP="00077021">
      <w:pPr>
        <w:pStyle w:val="a3"/>
        <w:numPr>
          <w:ilvl w:val="0"/>
          <w:numId w:val="4"/>
        </w:numPr>
        <w:ind w:leftChars="0"/>
      </w:pPr>
      <w:r w:rsidRPr="00077021">
        <w:t>https://profession-net.com/professionjournal/property-article-52/</w:t>
      </w:r>
    </w:p>
    <w:p w:rsidR="00077021" w:rsidRPr="00077021" w:rsidRDefault="00077021" w:rsidP="00077021">
      <w:pPr>
        <w:rPr>
          <w:rFonts w:hint="eastAsia"/>
        </w:rPr>
      </w:pPr>
      <w:bookmarkStart w:id="0" w:name="_GoBack"/>
      <w:bookmarkEnd w:id="0"/>
    </w:p>
    <w:sectPr w:rsidR="00077021" w:rsidRPr="000770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20B"/>
    <w:multiLevelType w:val="hybridMultilevel"/>
    <w:tmpl w:val="3F3C33DA"/>
    <w:lvl w:ilvl="0" w:tplc="9DA0840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9452E7"/>
    <w:multiLevelType w:val="hybridMultilevel"/>
    <w:tmpl w:val="7F8C90C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3672CF"/>
    <w:multiLevelType w:val="hybridMultilevel"/>
    <w:tmpl w:val="F5927D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370F2"/>
    <w:multiLevelType w:val="hybridMultilevel"/>
    <w:tmpl w:val="F5927D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63"/>
    <w:rsid w:val="00004755"/>
    <w:rsid w:val="00006243"/>
    <w:rsid w:val="00006FC6"/>
    <w:rsid w:val="00011810"/>
    <w:rsid w:val="00011EC0"/>
    <w:rsid w:val="000155BE"/>
    <w:rsid w:val="00020ABD"/>
    <w:rsid w:val="000355A1"/>
    <w:rsid w:val="00036393"/>
    <w:rsid w:val="00041909"/>
    <w:rsid w:val="000449BD"/>
    <w:rsid w:val="00044C75"/>
    <w:rsid w:val="000462B0"/>
    <w:rsid w:val="00053CC9"/>
    <w:rsid w:val="0005404D"/>
    <w:rsid w:val="0005463D"/>
    <w:rsid w:val="00054940"/>
    <w:rsid w:val="00060ACD"/>
    <w:rsid w:val="00060AE6"/>
    <w:rsid w:val="00062D87"/>
    <w:rsid w:val="0006391E"/>
    <w:rsid w:val="0006521D"/>
    <w:rsid w:val="0007126C"/>
    <w:rsid w:val="000714A6"/>
    <w:rsid w:val="00071B70"/>
    <w:rsid w:val="00072127"/>
    <w:rsid w:val="00075CBB"/>
    <w:rsid w:val="00077021"/>
    <w:rsid w:val="0007775E"/>
    <w:rsid w:val="00095E32"/>
    <w:rsid w:val="000A2899"/>
    <w:rsid w:val="000A5E7A"/>
    <w:rsid w:val="000B7B63"/>
    <w:rsid w:val="000B7F9B"/>
    <w:rsid w:val="000D3026"/>
    <w:rsid w:val="000D7EA6"/>
    <w:rsid w:val="000E0E29"/>
    <w:rsid w:val="000E0FB8"/>
    <w:rsid w:val="000F0607"/>
    <w:rsid w:val="000F29CF"/>
    <w:rsid w:val="000F6603"/>
    <w:rsid w:val="00102109"/>
    <w:rsid w:val="0010628E"/>
    <w:rsid w:val="00117D99"/>
    <w:rsid w:val="00124A77"/>
    <w:rsid w:val="00124C76"/>
    <w:rsid w:val="00126D77"/>
    <w:rsid w:val="00130083"/>
    <w:rsid w:val="00131891"/>
    <w:rsid w:val="001361BA"/>
    <w:rsid w:val="001375E7"/>
    <w:rsid w:val="00137A62"/>
    <w:rsid w:val="0014659E"/>
    <w:rsid w:val="001570A6"/>
    <w:rsid w:val="00166370"/>
    <w:rsid w:val="00176FC1"/>
    <w:rsid w:val="00183570"/>
    <w:rsid w:val="00184D8F"/>
    <w:rsid w:val="00185033"/>
    <w:rsid w:val="001852A3"/>
    <w:rsid w:val="00196A33"/>
    <w:rsid w:val="001A613C"/>
    <w:rsid w:val="001B39B7"/>
    <w:rsid w:val="001B4F25"/>
    <w:rsid w:val="001B760F"/>
    <w:rsid w:val="001C2C42"/>
    <w:rsid w:val="001E4D80"/>
    <w:rsid w:val="001F3C4B"/>
    <w:rsid w:val="002013C7"/>
    <w:rsid w:val="00212665"/>
    <w:rsid w:val="00220008"/>
    <w:rsid w:val="00232BC1"/>
    <w:rsid w:val="00237C2F"/>
    <w:rsid w:val="00240650"/>
    <w:rsid w:val="00246BFC"/>
    <w:rsid w:val="00260839"/>
    <w:rsid w:val="00260E8D"/>
    <w:rsid w:val="00265346"/>
    <w:rsid w:val="00267244"/>
    <w:rsid w:val="0027120F"/>
    <w:rsid w:val="00271E39"/>
    <w:rsid w:val="00276A27"/>
    <w:rsid w:val="002835CB"/>
    <w:rsid w:val="00291BE5"/>
    <w:rsid w:val="002B02AF"/>
    <w:rsid w:val="002B3E9B"/>
    <w:rsid w:val="002C1DF1"/>
    <w:rsid w:val="002C3E43"/>
    <w:rsid w:val="002C5939"/>
    <w:rsid w:val="002C7D79"/>
    <w:rsid w:val="002E6A7F"/>
    <w:rsid w:val="002F194B"/>
    <w:rsid w:val="00311B64"/>
    <w:rsid w:val="0031249C"/>
    <w:rsid w:val="0031393B"/>
    <w:rsid w:val="003213E3"/>
    <w:rsid w:val="00324260"/>
    <w:rsid w:val="003256BD"/>
    <w:rsid w:val="0033331F"/>
    <w:rsid w:val="00340E52"/>
    <w:rsid w:val="00345ACC"/>
    <w:rsid w:val="00352779"/>
    <w:rsid w:val="00356EA0"/>
    <w:rsid w:val="003627F2"/>
    <w:rsid w:val="00363494"/>
    <w:rsid w:val="00364E32"/>
    <w:rsid w:val="003651C6"/>
    <w:rsid w:val="003668CC"/>
    <w:rsid w:val="003679EE"/>
    <w:rsid w:val="00371021"/>
    <w:rsid w:val="00377670"/>
    <w:rsid w:val="00391129"/>
    <w:rsid w:val="003950A4"/>
    <w:rsid w:val="00396C1C"/>
    <w:rsid w:val="003A6974"/>
    <w:rsid w:val="003B7675"/>
    <w:rsid w:val="003B7D4E"/>
    <w:rsid w:val="003C3AF5"/>
    <w:rsid w:val="003C5EBB"/>
    <w:rsid w:val="003D150E"/>
    <w:rsid w:val="003D2070"/>
    <w:rsid w:val="003D5798"/>
    <w:rsid w:val="003E157B"/>
    <w:rsid w:val="003E58E0"/>
    <w:rsid w:val="003F18F1"/>
    <w:rsid w:val="00400E0E"/>
    <w:rsid w:val="0040685E"/>
    <w:rsid w:val="004076A7"/>
    <w:rsid w:val="0041689B"/>
    <w:rsid w:val="00433058"/>
    <w:rsid w:val="00436495"/>
    <w:rsid w:val="00437FFB"/>
    <w:rsid w:val="00442FB2"/>
    <w:rsid w:val="0044581C"/>
    <w:rsid w:val="00445A55"/>
    <w:rsid w:val="004463CC"/>
    <w:rsid w:val="004542A7"/>
    <w:rsid w:val="0045445F"/>
    <w:rsid w:val="00454C9C"/>
    <w:rsid w:val="00456DE1"/>
    <w:rsid w:val="004604D0"/>
    <w:rsid w:val="00462CC5"/>
    <w:rsid w:val="00467711"/>
    <w:rsid w:val="004927E7"/>
    <w:rsid w:val="004929B6"/>
    <w:rsid w:val="00493050"/>
    <w:rsid w:val="004936BD"/>
    <w:rsid w:val="00495E1B"/>
    <w:rsid w:val="004A7308"/>
    <w:rsid w:val="004C4EE0"/>
    <w:rsid w:val="004C52E8"/>
    <w:rsid w:val="004C5FA5"/>
    <w:rsid w:val="004C6E62"/>
    <w:rsid w:val="004C750E"/>
    <w:rsid w:val="004D03D7"/>
    <w:rsid w:val="004D2971"/>
    <w:rsid w:val="004D526F"/>
    <w:rsid w:val="004E680D"/>
    <w:rsid w:val="004E743F"/>
    <w:rsid w:val="004E781E"/>
    <w:rsid w:val="004F12CF"/>
    <w:rsid w:val="004F34DF"/>
    <w:rsid w:val="004F5B6B"/>
    <w:rsid w:val="0051017F"/>
    <w:rsid w:val="00511E68"/>
    <w:rsid w:val="00516BF8"/>
    <w:rsid w:val="00525CD5"/>
    <w:rsid w:val="00537400"/>
    <w:rsid w:val="00540663"/>
    <w:rsid w:val="00540EAB"/>
    <w:rsid w:val="00546D9A"/>
    <w:rsid w:val="005519CD"/>
    <w:rsid w:val="00567FE5"/>
    <w:rsid w:val="005705FE"/>
    <w:rsid w:val="00576A2A"/>
    <w:rsid w:val="005B5949"/>
    <w:rsid w:val="005B67E1"/>
    <w:rsid w:val="005B6991"/>
    <w:rsid w:val="005C60DF"/>
    <w:rsid w:val="005D3FCC"/>
    <w:rsid w:val="005D4763"/>
    <w:rsid w:val="005E3B63"/>
    <w:rsid w:val="005E5ACD"/>
    <w:rsid w:val="005F1BB0"/>
    <w:rsid w:val="00600716"/>
    <w:rsid w:val="00601DD9"/>
    <w:rsid w:val="00607D6B"/>
    <w:rsid w:val="006225AE"/>
    <w:rsid w:val="0062649D"/>
    <w:rsid w:val="00626B07"/>
    <w:rsid w:val="00627E1D"/>
    <w:rsid w:val="0063310A"/>
    <w:rsid w:val="006370E2"/>
    <w:rsid w:val="00637FD7"/>
    <w:rsid w:val="00643DA5"/>
    <w:rsid w:val="00645771"/>
    <w:rsid w:val="006503E2"/>
    <w:rsid w:val="00660A63"/>
    <w:rsid w:val="00662114"/>
    <w:rsid w:val="00665B98"/>
    <w:rsid w:val="006755B6"/>
    <w:rsid w:val="00680511"/>
    <w:rsid w:val="006873F4"/>
    <w:rsid w:val="006A2AFD"/>
    <w:rsid w:val="006A6A14"/>
    <w:rsid w:val="006A6C13"/>
    <w:rsid w:val="006A6DE6"/>
    <w:rsid w:val="006A7861"/>
    <w:rsid w:val="006B1A1B"/>
    <w:rsid w:val="006C4D5A"/>
    <w:rsid w:val="006C7B8A"/>
    <w:rsid w:val="006E0BDF"/>
    <w:rsid w:val="006E2297"/>
    <w:rsid w:val="006E3F5A"/>
    <w:rsid w:val="006E69E4"/>
    <w:rsid w:val="007062E7"/>
    <w:rsid w:val="00706D9D"/>
    <w:rsid w:val="007115D3"/>
    <w:rsid w:val="00720BDD"/>
    <w:rsid w:val="007210D8"/>
    <w:rsid w:val="00724FE4"/>
    <w:rsid w:val="00725426"/>
    <w:rsid w:val="00726417"/>
    <w:rsid w:val="007318D1"/>
    <w:rsid w:val="00732E16"/>
    <w:rsid w:val="00750DF6"/>
    <w:rsid w:val="00753111"/>
    <w:rsid w:val="00754F90"/>
    <w:rsid w:val="00756A50"/>
    <w:rsid w:val="00766BB3"/>
    <w:rsid w:val="00767A79"/>
    <w:rsid w:val="0077125D"/>
    <w:rsid w:val="0078094A"/>
    <w:rsid w:val="00781D46"/>
    <w:rsid w:val="00790C09"/>
    <w:rsid w:val="00791BB0"/>
    <w:rsid w:val="007A15AE"/>
    <w:rsid w:val="007A1E1C"/>
    <w:rsid w:val="007A5369"/>
    <w:rsid w:val="007A6DD7"/>
    <w:rsid w:val="007B3525"/>
    <w:rsid w:val="007B79CD"/>
    <w:rsid w:val="007C3F55"/>
    <w:rsid w:val="007D2AA3"/>
    <w:rsid w:val="007D7AA0"/>
    <w:rsid w:val="007E184C"/>
    <w:rsid w:val="007E4AAE"/>
    <w:rsid w:val="007F0817"/>
    <w:rsid w:val="007F1D64"/>
    <w:rsid w:val="008042AD"/>
    <w:rsid w:val="008047E5"/>
    <w:rsid w:val="00806CD5"/>
    <w:rsid w:val="008130D9"/>
    <w:rsid w:val="00813FB6"/>
    <w:rsid w:val="00820BAB"/>
    <w:rsid w:val="00833F3A"/>
    <w:rsid w:val="00844A12"/>
    <w:rsid w:val="00845E7A"/>
    <w:rsid w:val="00854727"/>
    <w:rsid w:val="00873892"/>
    <w:rsid w:val="0087653B"/>
    <w:rsid w:val="00882959"/>
    <w:rsid w:val="008878A1"/>
    <w:rsid w:val="008A354E"/>
    <w:rsid w:val="008A5502"/>
    <w:rsid w:val="008A6888"/>
    <w:rsid w:val="008B02C5"/>
    <w:rsid w:val="008B1C09"/>
    <w:rsid w:val="008B27D0"/>
    <w:rsid w:val="008B3C48"/>
    <w:rsid w:val="008B55C5"/>
    <w:rsid w:val="008B78FC"/>
    <w:rsid w:val="008C149D"/>
    <w:rsid w:val="008C3D91"/>
    <w:rsid w:val="008D3E0F"/>
    <w:rsid w:val="008E1B16"/>
    <w:rsid w:val="008E3AA2"/>
    <w:rsid w:val="00900166"/>
    <w:rsid w:val="00914198"/>
    <w:rsid w:val="00914DCA"/>
    <w:rsid w:val="009255BB"/>
    <w:rsid w:val="00944585"/>
    <w:rsid w:val="0095067A"/>
    <w:rsid w:val="00953D7D"/>
    <w:rsid w:val="00957938"/>
    <w:rsid w:val="0096476C"/>
    <w:rsid w:val="0097062A"/>
    <w:rsid w:val="00972B40"/>
    <w:rsid w:val="00987F8F"/>
    <w:rsid w:val="00996105"/>
    <w:rsid w:val="00997A5C"/>
    <w:rsid w:val="009A4946"/>
    <w:rsid w:val="009A4FA2"/>
    <w:rsid w:val="009A7E97"/>
    <w:rsid w:val="009D7816"/>
    <w:rsid w:val="009E49E0"/>
    <w:rsid w:val="00A12791"/>
    <w:rsid w:val="00A16630"/>
    <w:rsid w:val="00A326A0"/>
    <w:rsid w:val="00A35A67"/>
    <w:rsid w:val="00A40058"/>
    <w:rsid w:val="00A546C4"/>
    <w:rsid w:val="00A6018F"/>
    <w:rsid w:val="00A65044"/>
    <w:rsid w:val="00A7358E"/>
    <w:rsid w:val="00A80522"/>
    <w:rsid w:val="00A83492"/>
    <w:rsid w:val="00A8441B"/>
    <w:rsid w:val="00A91C9F"/>
    <w:rsid w:val="00AA476C"/>
    <w:rsid w:val="00AA57ED"/>
    <w:rsid w:val="00AB7BCD"/>
    <w:rsid w:val="00AC0D05"/>
    <w:rsid w:val="00AD661B"/>
    <w:rsid w:val="00AE0128"/>
    <w:rsid w:val="00AE3334"/>
    <w:rsid w:val="00AE5EDC"/>
    <w:rsid w:val="00AE7ED3"/>
    <w:rsid w:val="00AF0DE4"/>
    <w:rsid w:val="00AF1DAA"/>
    <w:rsid w:val="00AF32AA"/>
    <w:rsid w:val="00AF4F30"/>
    <w:rsid w:val="00AF5772"/>
    <w:rsid w:val="00B0678A"/>
    <w:rsid w:val="00B1295F"/>
    <w:rsid w:val="00B16CFD"/>
    <w:rsid w:val="00B20EE6"/>
    <w:rsid w:val="00B2312E"/>
    <w:rsid w:val="00B30A65"/>
    <w:rsid w:val="00B315DC"/>
    <w:rsid w:val="00B45C2B"/>
    <w:rsid w:val="00B52B53"/>
    <w:rsid w:val="00B56467"/>
    <w:rsid w:val="00B624FF"/>
    <w:rsid w:val="00B6293C"/>
    <w:rsid w:val="00B70232"/>
    <w:rsid w:val="00B750EE"/>
    <w:rsid w:val="00B75E14"/>
    <w:rsid w:val="00B75EEE"/>
    <w:rsid w:val="00B7770B"/>
    <w:rsid w:val="00B8089D"/>
    <w:rsid w:val="00B81C4B"/>
    <w:rsid w:val="00B8541A"/>
    <w:rsid w:val="00B876C5"/>
    <w:rsid w:val="00B87C40"/>
    <w:rsid w:val="00B95762"/>
    <w:rsid w:val="00B96CA7"/>
    <w:rsid w:val="00BB19DC"/>
    <w:rsid w:val="00BB3277"/>
    <w:rsid w:val="00BC2577"/>
    <w:rsid w:val="00BC5495"/>
    <w:rsid w:val="00BD0309"/>
    <w:rsid w:val="00BD4812"/>
    <w:rsid w:val="00BD4CCE"/>
    <w:rsid w:val="00BD75DA"/>
    <w:rsid w:val="00BE0CD3"/>
    <w:rsid w:val="00BE56DD"/>
    <w:rsid w:val="00BF28D6"/>
    <w:rsid w:val="00BF2F20"/>
    <w:rsid w:val="00C01D67"/>
    <w:rsid w:val="00C02D9E"/>
    <w:rsid w:val="00C05A20"/>
    <w:rsid w:val="00C05CD4"/>
    <w:rsid w:val="00C06E6F"/>
    <w:rsid w:val="00C1031C"/>
    <w:rsid w:val="00C10C48"/>
    <w:rsid w:val="00C16736"/>
    <w:rsid w:val="00C44D6A"/>
    <w:rsid w:val="00C478B1"/>
    <w:rsid w:val="00C728DA"/>
    <w:rsid w:val="00C740B9"/>
    <w:rsid w:val="00C741EF"/>
    <w:rsid w:val="00C76EB7"/>
    <w:rsid w:val="00C821A9"/>
    <w:rsid w:val="00C87E22"/>
    <w:rsid w:val="00C937A3"/>
    <w:rsid w:val="00C953A5"/>
    <w:rsid w:val="00CA1DEA"/>
    <w:rsid w:val="00CA4D33"/>
    <w:rsid w:val="00CA7FD7"/>
    <w:rsid w:val="00CB0368"/>
    <w:rsid w:val="00CC053A"/>
    <w:rsid w:val="00CC6E7F"/>
    <w:rsid w:val="00CD149F"/>
    <w:rsid w:val="00CD68C2"/>
    <w:rsid w:val="00CD6BEA"/>
    <w:rsid w:val="00CE2E36"/>
    <w:rsid w:val="00CE5682"/>
    <w:rsid w:val="00CF3515"/>
    <w:rsid w:val="00D02A8C"/>
    <w:rsid w:val="00D03077"/>
    <w:rsid w:val="00D04EA4"/>
    <w:rsid w:val="00D11CC2"/>
    <w:rsid w:val="00D13DCA"/>
    <w:rsid w:val="00D14B64"/>
    <w:rsid w:val="00D14F2D"/>
    <w:rsid w:val="00D3005B"/>
    <w:rsid w:val="00D348FB"/>
    <w:rsid w:val="00D365C9"/>
    <w:rsid w:val="00D40396"/>
    <w:rsid w:val="00D455B2"/>
    <w:rsid w:val="00D67F45"/>
    <w:rsid w:val="00D7052C"/>
    <w:rsid w:val="00D70A4F"/>
    <w:rsid w:val="00D83754"/>
    <w:rsid w:val="00D874B9"/>
    <w:rsid w:val="00D97183"/>
    <w:rsid w:val="00DC41B5"/>
    <w:rsid w:val="00DE16E3"/>
    <w:rsid w:val="00DE5A81"/>
    <w:rsid w:val="00DF293F"/>
    <w:rsid w:val="00DF443E"/>
    <w:rsid w:val="00DF64C4"/>
    <w:rsid w:val="00DF66C3"/>
    <w:rsid w:val="00E07020"/>
    <w:rsid w:val="00E20761"/>
    <w:rsid w:val="00E31443"/>
    <w:rsid w:val="00E36A32"/>
    <w:rsid w:val="00E4466A"/>
    <w:rsid w:val="00E50416"/>
    <w:rsid w:val="00E510DC"/>
    <w:rsid w:val="00E53608"/>
    <w:rsid w:val="00E67717"/>
    <w:rsid w:val="00E67FB4"/>
    <w:rsid w:val="00E75643"/>
    <w:rsid w:val="00E831CC"/>
    <w:rsid w:val="00E91065"/>
    <w:rsid w:val="00EA6E77"/>
    <w:rsid w:val="00EB27DA"/>
    <w:rsid w:val="00EB3C12"/>
    <w:rsid w:val="00EC0B4B"/>
    <w:rsid w:val="00EC76F1"/>
    <w:rsid w:val="00EC794A"/>
    <w:rsid w:val="00ED3E24"/>
    <w:rsid w:val="00EE4505"/>
    <w:rsid w:val="00EF4F2C"/>
    <w:rsid w:val="00EF7E89"/>
    <w:rsid w:val="00F11B6F"/>
    <w:rsid w:val="00F16450"/>
    <w:rsid w:val="00F200B2"/>
    <w:rsid w:val="00F21ACC"/>
    <w:rsid w:val="00F31B6A"/>
    <w:rsid w:val="00F34BC9"/>
    <w:rsid w:val="00F34C0F"/>
    <w:rsid w:val="00F4091F"/>
    <w:rsid w:val="00F41596"/>
    <w:rsid w:val="00F41A88"/>
    <w:rsid w:val="00F41CA5"/>
    <w:rsid w:val="00F42F16"/>
    <w:rsid w:val="00F47A6C"/>
    <w:rsid w:val="00F52EF9"/>
    <w:rsid w:val="00F709BE"/>
    <w:rsid w:val="00F721D0"/>
    <w:rsid w:val="00F75745"/>
    <w:rsid w:val="00F90E23"/>
    <w:rsid w:val="00F963B3"/>
    <w:rsid w:val="00FA4E1B"/>
    <w:rsid w:val="00FA5BA4"/>
    <w:rsid w:val="00FB0969"/>
    <w:rsid w:val="00FB5A4A"/>
    <w:rsid w:val="00FD0D41"/>
    <w:rsid w:val="00FD33A9"/>
    <w:rsid w:val="00FE2DB9"/>
    <w:rsid w:val="00FE6B43"/>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70D5E3"/>
  <w15:chartTrackingRefBased/>
  <w15:docId w15:val="{0AD07436-1EC7-487B-9E5E-B8877AD0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B63"/>
    <w:pPr>
      <w:ind w:leftChars="400" w:left="840"/>
    </w:pPr>
  </w:style>
  <w:style w:type="character" w:styleId="a4">
    <w:name w:val="Hyperlink"/>
    <w:basedOn w:val="a0"/>
    <w:uiPriority w:val="99"/>
    <w:unhideWhenUsed/>
    <w:rsid w:val="00077021"/>
    <w:rPr>
      <w:color w:val="0563C1" w:themeColor="hyperlink"/>
      <w:u w:val="single"/>
    </w:rPr>
  </w:style>
  <w:style w:type="character" w:styleId="a5">
    <w:name w:val="Unresolved Mention"/>
    <w:basedOn w:val="a0"/>
    <w:uiPriority w:val="99"/>
    <w:semiHidden/>
    <w:unhideWhenUsed/>
    <w:rsid w:val="00077021"/>
    <w:rPr>
      <w:color w:val="808080"/>
      <w:shd w:val="clear" w:color="auto" w:fill="E6E6E6"/>
    </w:rPr>
  </w:style>
  <w:style w:type="paragraph" w:styleId="a6">
    <w:name w:val="Balloon Text"/>
    <w:basedOn w:val="a"/>
    <w:link w:val="a7"/>
    <w:uiPriority w:val="99"/>
    <w:semiHidden/>
    <w:unhideWhenUsed/>
    <w:rsid w:val="000770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70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KURA003</dc:creator>
  <cp:keywords/>
  <dc:description/>
  <cp:lastModifiedBy>KURA003</cp:lastModifiedBy>
  <cp:revision>4</cp:revision>
  <cp:lastPrinted>2018-05-30T07:25:00Z</cp:lastPrinted>
  <dcterms:created xsi:type="dcterms:W3CDTF">2018-05-22T05:56:00Z</dcterms:created>
  <dcterms:modified xsi:type="dcterms:W3CDTF">2018-05-30T07:28:00Z</dcterms:modified>
</cp:coreProperties>
</file>